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How Your Work Was Done: The Decisions and How to Repeat Them</w:t>
      </w:r>
    </w:p>
    <w:p>
      <w:pPr>
        <w:pStyle w:val="Heading2"/>
      </w:pPr>
      <w:r>
        <w:t>How to read this document</w:t>
      </w:r>
    </w:p>
    <w:p>
      <w:r>
        <w:t>This document tells the story of your project in the order it happened: what we received from you, what we decided during the consultation and why, which analysis answers each of your hypotheses, how your data were prepared, what changed along the way, and what we did not do.</w:t>
      </w:r>
    </w:p>
    <w:p>
      <w:r>
        <w:t>Its last part shows, step by step, how to repeat every analysis yourself in SPSS. You do not need any background in statistics to follow it: each technical word is explained the first time it appears.</w:t>
      </w:r>
    </w:p>
    <w:p>
      <w:r>
        <w:t>The numbers themselves (the results) are in your findings chapter; this document never repeats them. Where it tells you which number to look at in SPSS, it also tells you where the same number appears in your findings chapter.</w:t>
      </w:r>
    </w:p>
    <w:p>
      <w:pPr>
        <w:pStyle w:val="Heading2"/>
      </w:pPr>
      <w:r>
        <w:t>1. What we received from you</w:t>
      </w:r>
    </w:p>
    <w:p>
      <w:r>
        <w:t>Each file you uploaded, and what we understood it to be.</w:t>
      </w:r>
    </w:p>
    <w:tbl>
      <w:tblPr>
        <w:tblStyle w:val="TableGrid"/>
        <w:tblW w:type="auto" w:w="0"/>
        <w:tblBorders>
          <w:top w:val="single" w:sz="8" w:space="0" w:color="000000"/>
          <w:left w:val="nil"/>
          <w:bottom w:val="single" w:sz="8" w:space="0" w:color="000000"/>
          <w:right w:val="nil"/>
          <w:insideH w:val="nil"/>
          <w:insideV w:val="nil"/>
        </w:tblBorders>
        <w:tblLayout w:type="fixed"/>
        <w:tblLook w:firstColumn="1" w:firstRow="1" w:lastColumn="0" w:lastRow="0" w:noHBand="0" w:noVBand="1" w:val="04A0"/>
      </w:tblPr>
      <w:tblGrid>
        <w:gridCol w:w="2800"/>
        <w:gridCol w:w="2186"/>
        <w:gridCol w:w="2186"/>
        <w:gridCol w:w="2466"/>
      </w:tblGrid>
      <w:tr>
        <w:trPr>
          <w:cantSplit/>
          <w:tblHeader/>
        </w:trPr>
        <w:tc>
          <w:tcPr>
            <w:tcW w:type="dxa" w:w="2800"/>
            <w:tcBorders>
              <w:bottom w:val="single" w:sz="6" w:space="0" w:color="000000"/>
            </w:tcBorders>
          </w:tcPr>
          <w:p>
            <w:pPr>
              <w:jc w:val="center"/>
            </w:pPr>
            <w:r>
              <w:rPr>
                <w:b/>
                <w:bCs/>
              </w:rPr>
              <w:t>File</w:t>
            </w:r>
          </w:p>
        </w:tc>
        <w:tc>
          <w:tcPr>
            <w:tcW w:type="dxa" w:w="2186"/>
            <w:tcBorders>
              <w:bottom w:val="single" w:sz="6" w:space="0" w:color="000000"/>
            </w:tcBorders>
          </w:tcPr>
          <w:p>
            <w:pPr>
              <w:jc w:val="center"/>
            </w:pPr>
            <w:r>
              <w:rPr>
                <w:b/>
                <w:bCs/>
              </w:rPr>
              <w:t>What it is</w:t>
            </w:r>
          </w:p>
        </w:tc>
        <w:tc>
          <w:tcPr>
            <w:tcW w:type="dxa" w:w="2186"/>
            <w:tcBorders>
              <w:bottom w:val="single" w:sz="6" w:space="0" w:color="000000"/>
            </w:tcBorders>
          </w:tcPr>
          <w:p>
            <w:pPr>
              <w:jc w:val="center"/>
            </w:pPr>
            <w:r>
              <w:rPr>
                <w:b/>
                <w:bCs/>
              </w:rPr>
              <w:t>Version notes</w:t>
            </w:r>
          </w:p>
        </w:tc>
        <w:tc>
          <w:tcPr>
            <w:tcW w:type="dxa" w:w="2466"/>
            <w:tcBorders>
              <w:bottom w:val="single" w:sz="6" w:space="0" w:color="000000"/>
            </w:tcBorders>
          </w:tcPr>
          <w:p>
            <w:pPr>
              <w:jc w:val="center"/>
            </w:pPr>
            <w:r>
              <w:rPr>
                <w:b/>
                <w:bCs/>
              </w:rPr>
              <w:t>How sure we are</w:t>
            </w:r>
          </w:p>
        </w:tc>
      </w:tr>
      <w:tr>
        <w:trPr>
          <w:cantSplit/>
        </w:trPr>
        <w:tc>
          <w:tcPr>
            <w:tcW w:type="dxa" w:w="2800"/>
          </w:tcPr>
          <w:p>
            <w:r>
              <w:t>data.csv</w:t>
            </w:r>
          </w:p>
        </w:tc>
        <w:tc>
          <w:tcPr>
            <w:tcW w:type="dxa" w:w="2186"/>
          </w:tcPr>
          <w:p>
            <w:pPr>
              <w:jc w:val="center"/>
            </w:pPr>
            <w:r>
              <w:t>Data</w:t>
            </w:r>
          </w:p>
        </w:tc>
        <w:tc>
          <w:tcPr>
            <w:tcW w:type="dxa" w:w="2186"/>
          </w:tcPr>
          <w:p>
            <w:pPr>
              <w:jc w:val="center"/>
            </w:pPr>
            <w:r>
              <w:t>—</w:t>
            </w:r>
          </w:p>
        </w:tc>
        <w:tc>
          <w:tcPr>
            <w:tcW w:type="dxa" w:w="2466"/>
          </w:tcPr>
          <w:p>
            <w:pPr>
              <w:jc w:val="center"/>
            </w:pPr>
            <w:r>
              <w:t>Certain</w:t>
            </w:r>
          </w:p>
        </w:tc>
      </w:tr>
      <w:tr>
        <w:trPr>
          <w:cantSplit/>
        </w:trPr>
        <w:tc>
          <w:tcPr>
            <w:tcW w:type="dxa" w:w="2800"/>
          </w:tcPr>
          <w:p>
            <w:r>
              <w:t>study-brief.md</w:t>
            </w:r>
          </w:p>
        </w:tc>
        <w:tc>
          <w:tcPr>
            <w:tcW w:type="dxa" w:w="2186"/>
          </w:tcPr>
          <w:p>
            <w:pPr>
              <w:jc w:val="center"/>
            </w:pPr>
            <w:r>
              <w:t>Instructions</w:t>
            </w:r>
          </w:p>
        </w:tc>
        <w:tc>
          <w:tcPr>
            <w:tcW w:type="dxa" w:w="2186"/>
          </w:tcPr>
          <w:p>
            <w:pPr>
              <w:jc w:val="center"/>
            </w:pPr>
            <w:r>
              <w:t>—</w:t>
            </w:r>
          </w:p>
        </w:tc>
        <w:tc>
          <w:tcPr>
            <w:tcW w:type="dxa" w:w="2466"/>
          </w:tcPr>
          <w:p>
            <w:pPr>
              <w:jc w:val="center"/>
            </w:pPr>
            <w:r>
              <w:t>Likely</w:t>
            </w:r>
          </w:p>
        </w:tc>
      </w:tr>
      <w:tr>
        <w:trPr>
          <w:cantSplit/>
        </w:trPr>
        <w:tc>
          <w:tcPr>
            <w:tcW w:type="dxa" w:w="2800"/>
          </w:tcPr>
          <w:p>
            <w:r>
              <w:t>questionnaire.docx</w:t>
            </w:r>
          </w:p>
        </w:tc>
        <w:tc>
          <w:tcPr>
            <w:tcW w:type="dxa" w:w="2186"/>
          </w:tcPr>
          <w:p>
            <w:pPr>
              <w:jc w:val="center"/>
            </w:pPr>
            <w:r>
              <w:t>Questionnaire</w:t>
            </w:r>
          </w:p>
        </w:tc>
        <w:tc>
          <w:tcPr>
            <w:tcW w:type="dxa" w:w="2186"/>
          </w:tcPr>
          <w:p>
            <w:pPr>
              <w:jc w:val="center"/>
            </w:pPr>
            <w:r>
              <w:t>—</w:t>
            </w:r>
          </w:p>
        </w:tc>
        <w:tc>
          <w:tcPr>
            <w:tcW w:type="dxa" w:w="2466"/>
          </w:tcPr>
          <w:p>
            <w:pPr>
              <w:jc w:val="center"/>
            </w:pPr>
            <w:r>
              <w:t>Certain</w:t>
            </w:r>
          </w:p>
        </w:tc>
      </w:tr>
      <w:tr>
        <w:trPr>
          <w:cantSplit/>
        </w:trPr>
        <w:tc>
          <w:tcPr>
            <w:tcW w:type="dxa" w:w="2800"/>
          </w:tcPr>
          <w:p>
            <w:r>
              <w:t>codebook.md</w:t>
            </w:r>
          </w:p>
        </w:tc>
        <w:tc>
          <w:tcPr>
            <w:tcW w:type="dxa" w:w="2186"/>
          </w:tcPr>
          <w:p>
            <w:pPr>
              <w:jc w:val="center"/>
            </w:pPr>
            <w:r>
              <w:t>Instructions</w:t>
            </w:r>
          </w:p>
        </w:tc>
        <w:tc>
          <w:tcPr>
            <w:tcW w:type="dxa" w:w="2186"/>
          </w:tcPr>
          <w:p>
            <w:pPr>
              <w:jc w:val="center"/>
            </w:pPr>
            <w:r>
              <w:t>—</w:t>
            </w:r>
          </w:p>
        </w:tc>
        <w:tc>
          <w:tcPr>
            <w:tcW w:type="dxa" w:w="2466"/>
          </w:tcPr>
          <w:p>
            <w:pPr>
              <w:jc w:val="center"/>
            </w:pPr>
            <w:r>
              <w:t>Certain</w:t>
            </w:r>
          </w:p>
        </w:tc>
      </w:tr>
    </w:tbl>
    <w:p>
      <w:pPr>
        <w:spacing w:before="240"/>
      </w:pPr>
      <w:r>
        <w:t>We opened your data file and checked that it can be read in full.</w:t>
      </w:r>
    </w:p>
    <w:tbl>
      <w:tblPr>
        <w:tblStyle w:val="TableGrid"/>
        <w:tblW w:type="auto" w:w="0"/>
        <w:tblBorders>
          <w:top w:val="single" w:sz="8" w:space="0" w:color="000000"/>
          <w:left w:val="nil"/>
          <w:bottom w:val="single" w:sz="8" w:space="0" w:color="000000"/>
          <w:right w:val="nil"/>
          <w:insideH w:val="nil"/>
          <w:insideV w:val="nil"/>
        </w:tblBorders>
        <w:tblLayout w:type="fixed"/>
        <w:tblLook w:firstColumn="1" w:firstRow="1" w:lastColumn="0" w:lastRow="0" w:noHBand="0" w:noVBand="1" w:val="04A0"/>
      </w:tblPr>
      <w:tblGrid>
        <w:gridCol w:w="4337"/>
        <w:gridCol w:w="5301"/>
      </w:tblGrid>
      <w:tr>
        <w:trPr>
          <w:cantSplit/>
          <w:tblHeader/>
        </w:trPr>
        <w:tc>
          <w:tcPr>
            <w:tcW w:type="dxa" w:w="4337"/>
            <w:tcBorders>
              <w:bottom w:val="single" w:sz="6" w:space="0" w:color="000000"/>
            </w:tcBorders>
          </w:tcPr>
          <w:p>
            <w:pPr>
              <w:jc w:val="center"/>
            </w:pPr>
            <w:r>
              <w:rPr>
                <w:b/>
                <w:bCs/>
              </w:rPr>
              <w:t>Item</w:t>
            </w:r>
          </w:p>
        </w:tc>
        <w:tc>
          <w:tcPr>
            <w:tcW w:type="dxa" w:w="5301"/>
            <w:tcBorders>
              <w:bottom w:val="single" w:sz="6" w:space="0" w:color="000000"/>
            </w:tcBorders>
          </w:tcPr>
          <w:p>
            <w:pPr>
              <w:jc w:val="center"/>
            </w:pPr>
            <w:r>
              <w:rPr>
                <w:b/>
                <w:bCs/>
              </w:rPr>
              <w:t>Detail</w:t>
            </w:r>
          </w:p>
        </w:tc>
      </w:tr>
      <w:tr>
        <w:trPr>
          <w:cantSplit/>
        </w:trPr>
        <w:tc>
          <w:tcPr>
            <w:tcW w:type="dxa" w:w="4337"/>
          </w:tcPr>
          <w:p>
            <w:r>
              <w:t>The file could be read</w:t>
            </w:r>
          </w:p>
        </w:tc>
        <w:tc>
          <w:tcPr>
            <w:tcW w:type="dxa" w:w="5301"/>
          </w:tcPr>
          <w:p>
            <w:pPr>
              <w:jc w:val="center"/>
            </w:pPr>
            <w:r>
              <w:t>Yes</w:t>
            </w:r>
          </w:p>
        </w:tc>
      </w:tr>
      <w:tr>
        <w:trPr>
          <w:cantSplit/>
        </w:trPr>
        <w:tc>
          <w:tcPr>
            <w:tcW w:type="dxa" w:w="4337"/>
          </w:tcPr>
          <w:p>
            <w:r>
              <w:t>Rows (usually one per respondent)</w:t>
            </w:r>
          </w:p>
        </w:tc>
        <w:tc>
          <w:tcPr>
            <w:tcW w:type="dxa" w:w="5301"/>
          </w:tcPr>
          <w:p>
            <w:pPr>
              <w:jc w:val="center"/>
            </w:pPr>
            <w:r>
              <w:t>360</w:t>
            </w:r>
          </w:p>
        </w:tc>
      </w:tr>
      <w:tr>
        <w:trPr>
          <w:cantSplit/>
        </w:trPr>
        <w:tc>
          <w:tcPr>
            <w:tcW w:type="dxa" w:w="4337"/>
          </w:tcPr>
          <w:p>
            <w:r>
              <w:t>Columns (usually one per question or detail)</w:t>
            </w:r>
          </w:p>
        </w:tc>
        <w:tc>
          <w:tcPr>
            <w:tcW w:type="dxa" w:w="5301"/>
          </w:tcPr>
          <w:p>
            <w:pPr>
              <w:jc w:val="center"/>
            </w:pPr>
            <w:r>
              <w:t>17</w:t>
            </w:r>
          </w:p>
        </w:tc>
      </w:tr>
    </w:tbl>
    <w:p>
      <w:pPr>
        <w:pStyle w:val="Heading2"/>
      </w:pPr>
      <w:r>
        <w:t>2. What we decided during the consultation, and why</w:t>
      </w:r>
    </w:p>
    <w:p>
      <w:r>
        <w:t>Before any analysis ran, we read your materials and your data and built a plan. A statistical consultant decides by themselves whatever the materials and the data already make clear, and explains each decision; where there was real doubt we asked you. These are the decisions, as they appeared in the consultation report you approved.</w:t>
      </w:r>
    </w:p>
    <w:p>
      <w:pPr>
        <w:pStyle w:val="Heading3"/>
      </w:pPr>
      <w:r>
        <w:t>Decisions we made for you</w:t>
      </w:r>
    </w:p>
    <w:p>
      <w:pPr>
        <w:pStyle w:val="Heading4"/>
      </w:pPr>
      <w:r>
        <w:t>How we understood your study</w:t>
      </w:r>
    </w:p>
    <w:p>
      <w:r>
        <w:t>For each thing your study measures: the part it plays in your study and what kind of answers it holds. Together these decide which test fits each hypothesis.</w:t>
      </w:r>
    </w:p>
    <w:p>
      <w:pPr>
        <w:pStyle w:val="ListBullet"/>
      </w:pPr>
      <w:r>
        <w:rPr>
          <w:b/>
          <w:bCs/>
        </w:rPr>
        <w:t>Your study design</w:t>
      </w:r>
      <w:r>
        <w:t xml:space="preserve"> — each respondent was measured once (no repeated measurements of the same people).</w:t>
      </w:r>
    </w:p>
    <w:p>
      <w:pPr>
        <w:pStyle w:val="ListBullet"/>
      </w:pPr>
      <w:r>
        <w:rPr>
          <w:b/>
          <w:bCs/>
        </w:rPr>
        <w:t>d1</w:t>
      </w:r>
      <w:r>
        <w:t xml:space="preserve"> — a factor that may explain or predict the outcome; its answers are categories with no natural order.</w:t>
      </w:r>
    </w:p>
    <w:p>
      <w:pPr>
        <w:pStyle w:val="ListBullet"/>
      </w:pPr>
      <w:r>
        <w:rPr>
          <w:b/>
          <w:bCs/>
        </w:rPr>
        <w:t>d2</w:t>
      </w:r>
      <w:r>
        <w:t xml:space="preserve"> — a factor that may explain or predict the outcome; its answers are ordered categories (for example, low / medium / high).</w:t>
      </w:r>
    </w:p>
    <w:p>
      <w:pPr>
        <w:pStyle w:val="ListBullet"/>
      </w:pPr>
      <w:r>
        <w:rPr>
          <w:b/>
          <w:bCs/>
        </w:rPr>
        <w:t>q1_1</w:t>
      </w:r>
      <w:r>
        <w:t xml:space="preserve"> — one question among a group of questions analysed together; its answers are ordered categories (for example, low / medium / high).</w:t>
      </w:r>
    </w:p>
    <w:p>
      <w:pPr>
        <w:pStyle w:val="ListBullet"/>
      </w:pPr>
      <w:r>
        <w:rPr>
          <w:b/>
          <w:bCs/>
        </w:rPr>
        <w:t>q1_2</w:t>
      </w:r>
      <w:r>
        <w:t xml:space="preserve"> — one question among a group of questions analysed together; its answers are ordered categories (for example, low / medium / high).</w:t>
      </w:r>
    </w:p>
    <w:p>
      <w:pPr>
        <w:pStyle w:val="ListBullet"/>
      </w:pPr>
      <w:r>
        <w:rPr>
          <w:b/>
          <w:bCs/>
        </w:rPr>
        <w:t>q1_3</w:t>
      </w:r>
      <w:r>
        <w:t xml:space="preserve"> — one question among a group of questions analysed together; its answers are ordered categories (for example, low / medium / high).</w:t>
      </w:r>
    </w:p>
    <w:p>
      <w:pPr>
        <w:pStyle w:val="ListBullet"/>
      </w:pPr>
      <w:r>
        <w:rPr>
          <w:b/>
          <w:bCs/>
        </w:rPr>
        <w:t>q1_4</w:t>
      </w:r>
      <w:r>
        <w:t xml:space="preserve"> — one question among a group of questions analysed together; its answers are ordered categories (for example, low / medium / high).</w:t>
      </w:r>
    </w:p>
    <w:p>
      <w:pPr>
        <w:pStyle w:val="ListBullet"/>
      </w:pPr>
      <w:r>
        <w:rPr>
          <w:b/>
          <w:bCs/>
        </w:rPr>
        <w:t>q1_5</w:t>
      </w:r>
      <w:r>
        <w:t xml:space="preserve"> — one question among a group of questions analysed together; its answers are ordered categories (for example, low / medium / high).</w:t>
      </w:r>
    </w:p>
    <w:p>
      <w:pPr>
        <w:pStyle w:val="ListBullet"/>
      </w:pPr>
      <w:r>
        <w:rPr>
          <w:b/>
          <w:bCs/>
        </w:rPr>
        <w:t>q2_1</w:t>
      </w:r>
      <w:r>
        <w:t xml:space="preserve"> — one question among a group of questions analysed together; its answers are ordered categories (for example, low / medium / high).</w:t>
      </w:r>
    </w:p>
    <w:p>
      <w:pPr>
        <w:pStyle w:val="ListBullet"/>
      </w:pPr>
      <w:r>
        <w:rPr>
          <w:b/>
          <w:bCs/>
        </w:rPr>
        <w:t>q2_2</w:t>
      </w:r>
      <w:r>
        <w:t xml:space="preserve"> — one question among a group of questions analysed together; its answers are ordered categories (for example, low / medium / high).</w:t>
      </w:r>
    </w:p>
    <w:p>
      <w:pPr>
        <w:pStyle w:val="ListBullet"/>
      </w:pPr>
      <w:r>
        <w:rPr>
          <w:b/>
          <w:bCs/>
        </w:rPr>
        <w:t>q2_3</w:t>
      </w:r>
      <w:r>
        <w:t xml:space="preserve"> — one question among a group of questions analysed together; its answers are ordered categories (for example, low / medium / high).</w:t>
      </w:r>
    </w:p>
    <w:p>
      <w:pPr>
        <w:pStyle w:val="ListBullet"/>
      </w:pPr>
      <w:r>
        <w:rPr>
          <w:b/>
          <w:bCs/>
        </w:rPr>
        <w:t>q2_4</w:t>
      </w:r>
      <w:r>
        <w:t xml:space="preserve"> — one question among a group of questions analysed together; its answers are ordered categories (for example, low / medium / high).</w:t>
      </w:r>
    </w:p>
    <w:p>
      <w:pPr>
        <w:pStyle w:val="ListBullet"/>
      </w:pPr>
      <w:r>
        <w:rPr>
          <w:b/>
          <w:bCs/>
        </w:rPr>
        <w:t>q2_5</w:t>
      </w:r>
      <w:r>
        <w:t xml:space="preserve"> — one question among a group of questions analysed together; its answers are ordered categories (for example, low / medium / high).</w:t>
      </w:r>
    </w:p>
    <w:p>
      <w:pPr>
        <w:pStyle w:val="ListBullet"/>
      </w:pPr>
      <w:r>
        <w:rPr>
          <w:b/>
          <w:bCs/>
        </w:rPr>
        <w:t>q3_1</w:t>
      </w:r>
      <w:r>
        <w:t xml:space="preserve"> — one question among a group of questions analysed together; its answers are ordered categories (for example, low / medium / high).</w:t>
      </w:r>
    </w:p>
    <w:p>
      <w:pPr>
        <w:pStyle w:val="ListBullet"/>
      </w:pPr>
      <w:r>
        <w:rPr>
          <w:b/>
          <w:bCs/>
        </w:rPr>
        <w:t>q3_2</w:t>
      </w:r>
      <w:r>
        <w:t xml:space="preserve"> — one question among a group of questions analysed together; its answers are ordered categories (for example, low / medium / high).</w:t>
      </w:r>
    </w:p>
    <w:p>
      <w:pPr>
        <w:pStyle w:val="ListBullet"/>
      </w:pPr>
      <w:r>
        <w:rPr>
          <w:b/>
          <w:bCs/>
        </w:rPr>
        <w:t>q3_3</w:t>
      </w:r>
      <w:r>
        <w:t xml:space="preserve"> — one question among a group of questions analysed together; its answers are ordered categories (for example, low / medium / high).</w:t>
      </w:r>
    </w:p>
    <w:p>
      <w:pPr>
        <w:pStyle w:val="ListBullet"/>
      </w:pPr>
      <w:r>
        <w:rPr>
          <w:b/>
          <w:bCs/>
        </w:rPr>
        <w:t>q3_4</w:t>
      </w:r>
      <w:r>
        <w:t xml:space="preserve"> — one question among a group of questions analysed together; its answers are ordered categories (for example, low / medium / high).</w:t>
      </w:r>
    </w:p>
    <w:p>
      <w:pPr>
        <w:pStyle w:val="ListBullet"/>
      </w:pPr>
      <w:r>
        <w:rPr>
          <w:b/>
          <w:bCs/>
        </w:rPr>
        <w:t>q3_5</w:t>
      </w:r>
      <w:r>
        <w:t xml:space="preserve"> — one question among a group of questions analysed together; its answers are ordered categories (for example, low / medium / high).</w:t>
      </w:r>
    </w:p>
    <w:p>
      <w:pPr>
        <w:pStyle w:val="ListBullet"/>
      </w:pPr>
      <w:r>
        <w:rPr>
          <w:b/>
          <w:bCs/>
        </w:rPr>
        <w:t>job_autonomy</w:t>
      </w:r>
      <w:r>
        <w:t xml:space="preserve"> — a factor that may explain or predict the outcome; its answers are numbers on a scale (for example, the average of 1-to-5 answers).</w:t>
      </w:r>
    </w:p>
    <w:p>
      <w:pPr>
        <w:pStyle w:val="ListBullet"/>
      </w:pPr>
      <w:r>
        <w:rPr>
          <w:b/>
          <w:bCs/>
        </w:rPr>
        <w:t>supervisor_support</w:t>
      </w:r>
      <w:r>
        <w:t xml:space="preserve"> — a factor that may explain or predict the outcome; its answers are numbers on a scale (for example, the average of 1-to-5 answers).</w:t>
      </w:r>
    </w:p>
    <w:p>
      <w:pPr>
        <w:pStyle w:val="ListBullet"/>
      </w:pPr>
      <w:r>
        <w:rPr>
          <w:b/>
          <w:bCs/>
        </w:rPr>
        <w:t>work_engagement</w:t>
      </w:r>
      <w:r>
        <w:t xml:space="preserve"> — the outcome: what your study tries to explain; its answers are numbers on a scale (for example, the average of 1-to-5 answers).</w:t>
      </w:r>
    </w:p>
    <w:p>
      <w:pPr>
        <w:pStyle w:val="Heading3"/>
      </w:pPr>
      <w:r>
        <w:t>How the questions were handled, round by round</w:t>
      </w:r>
    </w:p>
    <w:p>
      <w:r>
        <w:t>We did not need to ask you any question.</w:t>
      </w:r>
    </w:p>
    <w:p>
      <w:pPr>
        <w:pStyle w:val="Heading2"/>
      </w:pPr>
      <w:r>
        <w:t>3. The analysis plan: which test answers each hypothesis</w:t>
      </w:r>
    </w:p>
    <w:p>
      <w:r>
        <w:t>For each of your hypotheses we chose one statistical test (a standard calculation that checks whether a pattern in your data is larger than chance alone would produce). Below: what each test checks, which of your measures it uses, why it was chosen, and the other tests we considered.</w:t>
      </w:r>
    </w:p>
    <w:p>
      <w:pPr>
        <w:pStyle w:val="Heading3"/>
      </w:pPr>
      <w:r>
        <w:t>Analysis 1: hypothesis H1</w:t>
      </w:r>
    </w:p>
    <w:p>
      <w:pPr>
        <w:pStyle w:val="ListBullet"/>
      </w:pPr>
      <w:r>
        <w:t>The test: Pearson correlation.</w:t>
      </w:r>
    </w:p>
    <w:p>
      <w:pPr>
        <w:pStyle w:val="ListBullet"/>
      </w:pPr>
      <w:r>
        <w:t>What it checks: Measures how strongly two numeric measures move together, and in which direction.</w:t>
      </w:r>
    </w:p>
    <w:p>
      <w:pPr>
        <w:pStyle w:val="ListBullet"/>
      </w:pPr>
      <w:r>
        <w:t>Your measures in it: the first measure: «Job autonomy» (job_autonomy); the second measure: «Work engagement» (work_engagement).</w:t>
      </w:r>
    </w:p>
    <w:p>
      <w:pPr>
        <w:pStyle w:val="ListBullet"/>
      </w:pPr>
      <w:r>
        <w:t>Why this test: it is the standard test for this kind of question, given how your measures were understood in the consultation (part 2).</w:t>
      </w:r>
    </w:p>
    <w:p>
      <w:r>
        <w:t>Other tests we considered:</w:t>
      </w:r>
    </w:p>
    <w:p>
      <w:pPr>
        <w:pStyle w:val="ListBullet"/>
      </w:pPr>
      <w:r>
        <w:t>Spearman correlation was kept as a backup. It is used only if your data do not meet the conditions Pearson correlation needs, which we check before the test is run.</w:t>
      </w:r>
    </w:p>
    <w:p>
      <w:pPr>
        <w:pStyle w:val="Heading3"/>
      </w:pPr>
      <w:r>
        <w:t>Analysis 2: hypothesis H2</w:t>
      </w:r>
    </w:p>
    <w:p>
      <w:pPr>
        <w:pStyle w:val="ListBullet"/>
      </w:pPr>
      <w:r>
        <w:t>The test: Multiple linear regression.</w:t>
      </w:r>
    </w:p>
    <w:p>
      <w:pPr>
        <w:pStyle w:val="ListBullet"/>
      </w:pPr>
      <w:r>
        <w:t>What it checks: Estimates how well several measures together predict an outcome, and how much each one adds.</w:t>
      </w:r>
    </w:p>
    <w:p>
      <w:pPr>
        <w:pStyle w:val="ListBullet"/>
      </w:pPr>
      <w:r>
        <w:t>Your measures in it: the outcome: «Work engagement» (work_engagement); a predicting measure: «Supervisor support» (supervisor_support); a predicting measure: «Job autonomy» (job_autonomy).</w:t>
      </w:r>
    </w:p>
    <w:p>
      <w:pPr>
        <w:pStyle w:val="ListBullet"/>
      </w:pPr>
      <w:r>
        <w:t>Why this test: it is the standard test for this kind of question, given how your measures were understood in the consultation (part 2).</w:t>
      </w:r>
    </w:p>
    <w:p>
      <w:r>
        <w:t>Other tests we considered:</w:t>
      </w:r>
    </w:p>
    <w:p>
      <w:pPr>
        <w:pStyle w:val="ListBullet"/>
      </w:pPr>
      <w:r>
        <w:t>Simple linear regression fits studies that are built a little differently (another number of groups or measurements, or another kind of answer). Multiple linear regression fits the way your study is built.</w:t>
      </w:r>
    </w:p>
    <w:p>
      <w:pPr>
        <w:pStyle w:val="Heading3"/>
      </w:pPr>
      <w:r>
        <w:t>Analysis 3: hypothesis H3</w:t>
      </w:r>
    </w:p>
    <w:p>
      <w:pPr>
        <w:pStyle w:val="ListBullet"/>
      </w:pPr>
      <w:r>
        <w:t>The test: Independent-samples t-test.</w:t>
      </w:r>
    </w:p>
    <w:p>
      <w:pPr>
        <w:pStyle w:val="ListBullet"/>
      </w:pPr>
      <w:r>
        <w:t>What it checks: Compares the average score of two separate groups (for example, women and men).</w:t>
      </w:r>
    </w:p>
    <w:p>
      <w:pPr>
        <w:pStyle w:val="ListBullet"/>
      </w:pPr>
      <w:r>
        <w:t>Your measures in it: the measure being compared: «Work engagement» (work_engagement); the groups: «Work arrangement» (d1).</w:t>
      </w:r>
    </w:p>
    <w:p>
      <w:pPr>
        <w:pStyle w:val="ListBullet"/>
      </w:pPr>
      <w:r>
        <w:t>Why this test: it is the standard test for this kind of question, given how your measures were understood in the consultation (part 2).</w:t>
      </w:r>
    </w:p>
    <w:p>
      <w:r>
        <w:t>Other tests we considered:</w:t>
      </w:r>
    </w:p>
    <w:p>
      <w:pPr>
        <w:pStyle w:val="ListBullet"/>
      </w:pPr>
      <w:r>
        <w:t>Mann-Whitney U test was kept as a backup. It is used only if your data do not meet the conditions Independent-samples t-test needs, which we check before the test is run.</w:t>
      </w:r>
    </w:p>
    <w:p>
      <w:pPr>
        <w:pStyle w:val="Heading3"/>
      </w:pPr>
      <w:r>
        <w:t>Analysis 4: the additional analysis Supervisor support, Job autonomy, Work arrangement, Tenure with the employer × Work engagement</w:t>
      </w:r>
    </w:p>
    <w:p>
      <w:pPr>
        <w:pStyle w:val="ListBullet"/>
      </w:pPr>
      <w:r>
        <w:t>This is an additional analysis you chose on the quote, not one of your research hypotheses.</w:t>
      </w:r>
    </w:p>
    <w:p>
      <w:pPr>
        <w:pStyle w:val="ListBullet"/>
      </w:pPr>
      <w:r>
        <w:t>The test: Multiple linear regression.</w:t>
      </w:r>
    </w:p>
    <w:p>
      <w:pPr>
        <w:pStyle w:val="ListBullet"/>
      </w:pPr>
      <w:r>
        <w:t>What it checks: Estimates how well several measures together predict an outcome, and how much each one adds.</w:t>
      </w:r>
    </w:p>
    <w:p>
      <w:pPr>
        <w:pStyle w:val="ListBullet"/>
      </w:pPr>
      <w:r>
        <w:t>Your measures in it: the outcome: «Work engagement» (work_engagement); a predicting measure: «Supervisor support» (supervisor_support); a predicting measure: «Job autonomy» (job_autonomy); a predicting measure: «Work arrangement» (d1); a predicting measure: «Tenure with the employer» (d2).</w:t>
      </w:r>
    </w:p>
    <w:p>
      <w:pPr>
        <w:pStyle w:val="ListBullet"/>
      </w:pPr>
      <w:r>
        <w:t>Why this test: it is the standard test for this kind of question, given how your measures were understood in the consultation (part 2).</w:t>
      </w:r>
    </w:p>
    <w:p>
      <w:r>
        <w:t>Other tests we considered:</w:t>
      </w:r>
    </w:p>
    <w:p>
      <w:pPr>
        <w:pStyle w:val="ListBullet"/>
      </w:pPr>
      <w:r>
        <w:t>Simple linear regression fits studies that are built a little differently (another number of groups or measurements, or another kind of answer). Multiple linear regression fits the way your study is built.</w:t>
      </w:r>
    </w:p>
    <w:p>
      <w:pPr>
        <w:pStyle w:val="Heading3"/>
      </w:pPr>
      <w:r>
        <w:t>Analysis 5: the measurement-structure analysis</w:t>
      </w:r>
    </w:p>
    <w:p>
      <w:pPr>
        <w:pStyle w:val="ListBullet"/>
      </w:pPr>
      <w:r>
        <w:t>The test: Exploratory factor analysis.</w:t>
      </w:r>
    </w:p>
    <w:p>
      <w:pPr>
        <w:pStyle w:val="ListBullet"/>
      </w:pPr>
      <w:r>
        <w:t>What it checks: Finds which questions group together because they measure the same underlying thing.</w:t>
      </w:r>
    </w:p>
    <w:p>
      <w:pPr>
        <w:pStyle w:val="ListBullet"/>
      </w:pPr>
      <w:r>
        <w:t>Why this test: it is the standard test for this kind of question, given how your measures were understood in the consultation (part 2).</w:t>
      </w:r>
    </w:p>
    <w:p>
      <w:pPr>
        <w:pStyle w:val="Heading2"/>
      </w:pPr>
      <w:r>
        <w:t>4. How your data were prepared</w:t>
      </w:r>
    </w:p>
    <w:p>
      <w:r>
        <w:t>Before the tests ran, your data file was prepared. Each step below changed the data in a way the analysis needed.</w:t>
      </w:r>
    </w:p>
    <w:p>
      <w:pPr>
        <w:pStyle w:val="ListBullet"/>
      </w:pPr>
      <w:r>
        <w:t>Your columns were given short, standard names (a letter and the question's number). The list of old and new names is in your codebook.</w:t>
      </w:r>
    </w:p>
    <w:p>
      <w:pPr>
        <w:pStyle w:val="ListBullet"/>
      </w:pPr>
      <w:r>
        <w:t>«job_autonomy»: one score per respondent, the average of its questions (q1_1, q1_2, q1_3, q1_4, q1_5).</w:t>
      </w:r>
    </w:p>
    <w:p>
      <w:pPr>
        <w:pStyle w:val="ListBullet"/>
      </w:pPr>
      <w:r>
        <w:t>«supervisor_support»: one score per respondent, the average of its questions (q2_1, q2_2, q2_3, q2_4, q2_5).</w:t>
      </w:r>
    </w:p>
    <w:p>
      <w:pPr>
        <w:pStyle w:val="ListBullet"/>
      </w:pPr>
      <w:r>
        <w:t>«work_engagement»: one score per respondent, the average of its questions (q3_1, q3_2, q3_3, q3_4, q3_5).</w:t>
      </w:r>
    </w:p>
    <w:p>
      <w:r>
        <w:t>In SPSS, the first part of syntax.sps (under DATA PREPARATION) repeats every one of these steps on your original file, and data_analysis.sav is the file it produces.</w:t>
      </w:r>
    </w:p>
    <w:p>
      <w:pPr>
        <w:pStyle w:val="Heading2"/>
      </w:pPr>
      <w:r>
        <w:t>5. What changed along the way, and why</w:t>
      </w:r>
    </w:p>
    <w:p>
      <w:r>
        <w:t>Nothing in the plan changed after you approved it.</w:t>
      </w:r>
    </w:p>
    <w:p>
      <w:pPr>
        <w:pStyle w:val="Heading2"/>
      </w:pPr>
      <w:r>
        <w:t>6. Repeat the analysis yourself in SPSS</w:t>
      </w:r>
    </w:p>
    <w:p>
      <w:r>
        <w:t>You did not choose a program when you ordered, so the steps below are for SPSS, the program most universities use.</w:t>
      </w:r>
    </w:p>
    <w:p>
      <w:pPr>
        <w:pStyle w:val="Heading3"/>
      </w:pPr>
      <w:r>
        <w:t>What you need</w:t>
      </w:r>
    </w:p>
    <w:p>
      <w:r>
        <w:t>IBM SPSS Statistics (version 25 or later), and these files from the «Software Outputs (Appendix)» part of your package: data_analysis.sav (your data, already prepared), data_original.sav (your data as you sent it), syntax.sps (the commands) and output.spv (our output, to compare with yours).</w:t>
      </w:r>
    </w:p>
    <w:p>
      <w:pPr>
        <w:pStyle w:val="Heading3"/>
      </w:pPr>
      <w:r>
        <w:t>The quickest way: everything at once</w:t>
      </w:r>
    </w:p>
    <w:p>
      <w:r>
        <w:t>Open syntax.sps in SPSS (File &gt; Open &gt; Syntax...), choose Run &gt; All, and SPSS repeats the whole analysis, from your original file to the last table. Keep the files of the package in one folder. If SPSS says it cannot find a file, add the line CD 'C:\my-folder'. at the very top of syntax.sps, with your folder's location instead of the example, and run it again.</w:t>
      </w:r>
    </w:p>
    <w:p>
      <w:pPr>
        <w:pStyle w:val="Heading3"/>
      </w:pPr>
      <w:r>
        <w:t>Step by step, one analysis at a time</w:t>
      </w:r>
    </w:p>
    <w:p>
      <w:r>
        <w:t>Open data_analysis.sav: File &gt; Open &gt; Data....</w:t>
      </w:r>
    </w:p>
    <w:p>
      <w:pPr>
        <w:pStyle w:val="Heading4"/>
      </w:pPr>
      <w:r>
        <w:t>Analysis 1: hypothesis H1 — Pearson correlation</w:t>
      </w:r>
    </w:p>
    <w:p>
      <w:pPr>
        <w:pStyle w:val="ListNumber"/>
        <w:numPr>
          <w:ilvl w:val="0"/>
          <w:numId w:val="10"/>
        </w:numPr>
      </w:pPr>
      <w:r>
        <w:t>From the menus at the top, choose Analyze &gt; Correlate &gt; Bivariate....</w:t>
      </w:r>
    </w:p>
    <w:p>
      <w:pPr>
        <w:pStyle w:val="ListNumber"/>
        <w:numPr>
          <w:ilvl w:val="0"/>
          <w:numId w:val="10"/>
        </w:numPr>
      </w:pPr>
      <w:r>
        <w:t>Move «Job autonomy» (job_autonomy) into the box Variables.</w:t>
      </w:r>
    </w:p>
    <w:p>
      <w:pPr>
        <w:pStyle w:val="ListNumber"/>
        <w:numPr>
          <w:ilvl w:val="0"/>
          <w:numId w:val="10"/>
        </w:numPr>
      </w:pPr>
      <w:r>
        <w:t>Move «Work engagement» (work_engagement) into the box Variables.</w:t>
      </w:r>
    </w:p>
    <w:p>
      <w:pPr>
        <w:pStyle w:val="ListNumber"/>
        <w:numPr>
          <w:ilvl w:val="0"/>
          <w:numId w:val="10"/>
        </w:numPr>
      </w:pPr>
      <w:r>
        <w:t>Click OK. The results open in the Output window.</w:t>
      </w:r>
    </w:p>
    <w:p>
      <w:r>
        <w:t>The same analysis as a command: this is its block in syntax.sps, which starts with the comment line shown first. To run only it: open syntax.sps, select these lines, and choose Run &gt; Selection.</w:t>
      </w:r>
    </w:p>
    <w:p>
      <w:pPr>
        <w:keepNext/>
        <w:shd w:val="clear" w:color="auto" w:fill="F2F2F2"/>
        <w:spacing w:before="120" w:after="0"/>
        <w:ind w:left="227"/>
      </w:pPr>
      <w:r>
        <w:rPr>
          <w:rFonts w:ascii="Courier New" w:hAnsi="Courier New" w:cs="Courier New" w:eastAsia="Courier New"/>
          <w:sz w:val="18"/>
        </w:rPr>
        <w:t>* ==== Analysis 1 of 5 (hypothesis H1) ====.</w:t>
      </w:r>
    </w:p>
    <w:p>
      <w:pPr>
        <w:keepNext/>
        <w:shd w:val="clear" w:color="auto" w:fill="F2F2F2"/>
        <w:spacing w:before="0" w:after="0"/>
        <w:ind w:left="227"/>
      </w:pPr>
      <w:r>
        <w:rPr>
          <w:rFonts w:ascii="Courier New" w:hAnsi="Courier New" w:cs="Courier New" w:eastAsia="Courier New"/>
          <w:sz w:val="18"/>
        </w:rPr>
        <w:t>CORRELATIONS /VARIABLES=job_autonomy work_engagement</w:t>
      </w:r>
    </w:p>
    <w:p>
      <w:pPr>
        <w:keepNext/>
        <w:shd w:val="clear" w:color="auto" w:fill="F2F2F2"/>
        <w:spacing w:before="0" w:after="0"/>
        <w:ind w:left="227"/>
      </w:pPr>
      <w:r>
        <w:rPr>
          <w:rFonts w:ascii="Courier New" w:hAnsi="Courier New" w:cs="Courier New" w:eastAsia="Courier New"/>
          <w:sz w:val="18"/>
        </w:rPr>
        <w:t xml:space="preserve">  /PRINT=TWOTAIL SIG.</w:t>
      </w:r>
    </w:p>
    <w:p>
      <w:pPr>
        <w:keepNext w:val="0"/>
        <w:shd w:val="clear" w:color="auto" w:fill="F2F2F2"/>
        <w:spacing w:before="0" w:after="120"/>
        <w:ind w:left="227"/>
      </w:pPr>
      <w:r>
        <w:rPr>
          <w:rFonts w:ascii="Courier New" w:hAnsi="Courier New" w:cs="Courier New" w:eastAsia="Courier New"/>
          <w:sz w:val="18"/>
        </w:rPr>
        <w:t>GRAPH /SCATTERPLOT(BIVAR)=job_autonomy WITH work_engagement.</w:t>
      </w:r>
    </w:p>
    <w:p>
      <w:r>
        <w:t>In the table Correlations, look at the column Sig. (2-tailed). This number is the p-value (a number every test produces; a small p-value means the result is unlikely to be a coincidence). It is the same number your findings chapter reports for hypothesis H1. Small differences in the last digit come from rounding.</w:t>
      </w:r>
    </w:p>
    <w:p>
      <w:pPr>
        <w:pStyle w:val="Heading4"/>
      </w:pPr>
      <w:r>
        <w:t>Analysis 2: hypothesis H2 — Multiple linear regression</w:t>
      </w:r>
    </w:p>
    <w:p>
      <w:pPr>
        <w:pStyle w:val="ListNumber"/>
        <w:numPr>
          <w:ilvl w:val="0"/>
          <w:numId w:val="11"/>
        </w:numPr>
      </w:pPr>
      <w:r>
        <w:t>From the menus at the top, choose Analyze &gt; Regression &gt; Linear....</w:t>
      </w:r>
    </w:p>
    <w:p>
      <w:pPr>
        <w:pStyle w:val="ListNumber"/>
        <w:numPr>
          <w:ilvl w:val="0"/>
          <w:numId w:val="11"/>
        </w:numPr>
      </w:pPr>
      <w:r>
        <w:t>Move «Work engagement» (work_engagement) into the box Dependent.</w:t>
      </w:r>
    </w:p>
    <w:p>
      <w:pPr>
        <w:pStyle w:val="ListNumber"/>
        <w:numPr>
          <w:ilvl w:val="0"/>
          <w:numId w:val="11"/>
        </w:numPr>
      </w:pPr>
      <w:r>
        <w:t>Move «Supervisor support» (supervisor_support) into the box Independent(s).</w:t>
      </w:r>
    </w:p>
    <w:p>
      <w:pPr>
        <w:pStyle w:val="ListNumber"/>
        <w:numPr>
          <w:ilvl w:val="0"/>
          <w:numId w:val="11"/>
        </w:numPr>
      </w:pPr>
      <w:r>
        <w:t>Move «Job autonomy» (job_autonomy) into the box Independent(s).</w:t>
      </w:r>
    </w:p>
    <w:p>
      <w:pPr>
        <w:pStyle w:val="ListNumber"/>
        <w:numPr>
          <w:ilvl w:val="0"/>
          <w:numId w:val="11"/>
        </w:numPr>
      </w:pPr>
      <w:r>
        <w:t>Click OK. The results open in the Output window.</w:t>
      </w:r>
    </w:p>
    <w:p>
      <w:r>
        <w:t>The same analysis as a command: this is its block in syntax.sps, which starts with the comment line shown first. To run only it: open syntax.sps, select these lines, and choose Run &gt; Selection.</w:t>
      </w:r>
    </w:p>
    <w:p>
      <w:pPr>
        <w:keepNext/>
        <w:shd w:val="clear" w:color="auto" w:fill="F2F2F2"/>
        <w:spacing w:before="120" w:after="0"/>
        <w:ind w:left="227"/>
      </w:pPr>
      <w:r>
        <w:rPr>
          <w:rFonts w:ascii="Courier New" w:hAnsi="Courier New" w:cs="Courier New" w:eastAsia="Courier New"/>
          <w:sz w:val="18"/>
        </w:rPr>
        <w:t>* ==== Analysis 2 of 5 (hypothesis H2) ====.</w:t>
      </w:r>
    </w:p>
    <w:p>
      <w:pPr>
        <w:keepNext/>
        <w:shd w:val="clear" w:color="auto" w:fill="F2F2F2"/>
        <w:spacing w:before="0" w:after="0"/>
        <w:ind w:left="227"/>
      </w:pPr>
      <w:r>
        <w:rPr>
          <w:rFonts w:ascii="Courier New" w:hAnsi="Courier New" w:cs="Courier New" w:eastAsia="Courier New"/>
          <w:sz w:val="18"/>
        </w:rPr>
        <w:t>REGRESSION /STATISTICS=COEFF CI(95) R ANOVA TOL</w:t>
      </w:r>
    </w:p>
    <w:p>
      <w:pPr>
        <w:keepNext/>
        <w:shd w:val="clear" w:color="auto" w:fill="F2F2F2"/>
        <w:spacing w:before="0" w:after="0"/>
        <w:ind w:left="227"/>
      </w:pPr>
      <w:r>
        <w:rPr>
          <w:rFonts w:ascii="Courier New" w:hAnsi="Courier New" w:cs="Courier New" w:eastAsia="Courier New"/>
          <w:sz w:val="18"/>
        </w:rPr>
        <w:t xml:space="preserve">  /DEPENDENT=work_engagement</w:t>
      </w:r>
    </w:p>
    <w:p>
      <w:pPr>
        <w:keepNext/>
        <w:shd w:val="clear" w:color="auto" w:fill="F2F2F2"/>
        <w:spacing w:before="0" w:after="0"/>
        <w:ind w:left="227"/>
      </w:pPr>
      <w:r>
        <w:rPr>
          <w:rFonts w:ascii="Courier New" w:hAnsi="Courier New" w:cs="Courier New" w:eastAsia="Courier New"/>
          <w:sz w:val="18"/>
        </w:rPr>
        <w:t xml:space="preserve">  /METHOD=ENTER supervisor_support job_autonomy</w:t>
      </w:r>
    </w:p>
    <w:p>
      <w:pPr>
        <w:keepNext w:val="0"/>
        <w:shd w:val="clear" w:color="auto" w:fill="F2F2F2"/>
        <w:spacing w:before="0" w:after="120"/>
        <w:ind w:left="227"/>
      </w:pPr>
      <w:r>
        <w:rPr>
          <w:rFonts w:ascii="Courier New" w:hAnsi="Courier New" w:cs="Courier New" w:eastAsia="Courier New"/>
          <w:sz w:val="18"/>
        </w:rPr>
        <w:t xml:space="preserve">  /RESIDUALS DURBIN.</w:t>
      </w:r>
    </w:p>
    <w:p>
      <w:r>
        <w:t>In the table Coefficients, look at the column Sig., in the row of each predicting measure. This number is the p-value. It is the same number your findings chapter reports for hypothesis H2. Small differences in the last digit come from rounding.</w:t>
      </w:r>
    </w:p>
    <w:p>
      <w:pPr>
        <w:pStyle w:val="Heading4"/>
      </w:pPr>
      <w:r>
        <w:t>Analysis 3: hypothesis H3 — Independent-samples t-test</w:t>
      </w:r>
    </w:p>
    <w:p>
      <w:pPr>
        <w:pStyle w:val="ListNumber"/>
        <w:numPr>
          <w:ilvl w:val="0"/>
          <w:numId w:val="12"/>
        </w:numPr>
      </w:pPr>
      <w:r>
        <w:t>From the menus at the top, choose Analyze &gt; Compare Means &gt; Independent-Samples T Test.... In SPSS 29 and later this menu is called Compare Means and Proportions.</w:t>
      </w:r>
    </w:p>
    <w:p>
      <w:pPr>
        <w:pStyle w:val="ListNumber"/>
        <w:numPr>
          <w:ilvl w:val="0"/>
          <w:numId w:val="12"/>
        </w:numPr>
      </w:pPr>
      <w:r>
        <w:t>Move «Work engagement» (work_engagement) into the box Test Variable(s).</w:t>
      </w:r>
    </w:p>
    <w:p>
      <w:pPr>
        <w:pStyle w:val="ListNumber"/>
        <w:numPr>
          <w:ilvl w:val="0"/>
          <w:numId w:val="12"/>
        </w:numPr>
      </w:pPr>
      <w:r>
        <w:t>Move «Work arrangement» (d1) into the box Grouping Variable.</w:t>
      </w:r>
    </w:p>
    <w:p>
      <w:pPr>
        <w:pStyle w:val="ListNumber"/>
        <w:numPr>
          <w:ilvl w:val="0"/>
          <w:numId w:val="12"/>
        </w:numPr>
      </w:pPr>
      <w:r>
        <w:t>Click Define Groups... and type the two codes of the groups: Hybrid, Onsite.</w:t>
      </w:r>
    </w:p>
    <w:p>
      <w:pPr>
        <w:pStyle w:val="ListNumber"/>
        <w:numPr>
          <w:ilvl w:val="0"/>
          <w:numId w:val="12"/>
        </w:numPr>
      </w:pPr>
      <w:r>
        <w:t>Click OK. The results open in the Output window.</w:t>
      </w:r>
    </w:p>
    <w:p>
      <w:r>
        <w:t>The same analysis as a command: this is its block in syntax.sps, which starts with the comment line shown first. To run only it: open syntax.sps, select these lines, and choose Run &gt; Selection.</w:t>
      </w:r>
    </w:p>
    <w:p>
      <w:pPr>
        <w:keepNext/>
        <w:shd w:val="clear" w:color="auto" w:fill="F2F2F2"/>
        <w:spacing w:before="120" w:after="0"/>
        <w:ind w:left="227"/>
      </w:pPr>
      <w:r>
        <w:rPr>
          <w:rFonts w:ascii="Courier New" w:hAnsi="Courier New" w:cs="Courier New" w:eastAsia="Courier New"/>
          <w:sz w:val="18"/>
        </w:rPr>
        <w:t>* ==== Analysis 3 of 5 (hypothesis H3) ====.</w:t>
      </w:r>
    </w:p>
    <w:p>
      <w:pPr>
        <w:keepNext/>
        <w:shd w:val="clear" w:color="auto" w:fill="F2F2F2"/>
        <w:spacing w:before="0" w:after="0"/>
        <w:ind w:left="227"/>
      </w:pPr>
      <w:r>
        <w:rPr>
          <w:rFonts w:ascii="Courier New" w:hAnsi="Courier New" w:cs="Courier New" w:eastAsia="Courier New"/>
          <w:sz w:val="18"/>
        </w:rPr>
        <w:t>T-TEST GROUPS=d1('Hybrid' 'Onsite')</w:t>
      </w:r>
    </w:p>
    <w:p>
      <w:pPr>
        <w:keepNext/>
        <w:shd w:val="clear" w:color="auto" w:fill="F2F2F2"/>
        <w:spacing w:before="0" w:after="0"/>
        <w:ind w:left="227"/>
      </w:pPr>
      <w:r>
        <w:rPr>
          <w:rFonts w:ascii="Courier New" w:hAnsi="Courier New" w:cs="Courier New" w:eastAsia="Courier New"/>
          <w:sz w:val="18"/>
        </w:rPr>
        <w:t xml:space="preserve">  /VARIABLES=work_engagement.</w:t>
      </w:r>
    </w:p>
    <w:p>
      <w:pPr>
        <w:keepNext w:val="0"/>
        <w:shd w:val="clear" w:color="auto" w:fill="F2F2F2"/>
        <w:spacing w:before="0" w:after="120"/>
        <w:ind w:left="227"/>
      </w:pPr>
      <w:r>
        <w:rPr>
          <w:rFonts w:ascii="Courier New" w:hAnsi="Courier New" w:cs="Courier New" w:eastAsia="Courier New"/>
          <w:sz w:val="18"/>
        </w:rPr>
        <w:t>GRAPH /BAR(SIMPLE)=MEAN(work_engagement) BY d1.</w:t>
      </w:r>
    </w:p>
    <w:p>
      <w:r>
        <w:t>In the table Independent Samples Test, look at the column Sig. (2-tailed) (in SPSS 27 and later this column is called Two-Sided p), in the row Equal variances not assumed. This number is the p-value. If the number before it (the test's statistic) appears with the opposite sign (+ instead of −), that only reflects which group the program listed first. It is the same number your findings chapter reports for hypothesis H3. Small differences in the last digit come from rounding.</w:t>
      </w:r>
    </w:p>
    <w:p>
      <w:pPr>
        <w:pStyle w:val="Heading4"/>
      </w:pPr>
      <w:r>
        <w:t>Analysis 4: the additional analysis Supervisor support, Job autonomy, Work arrangement, Tenure with the employer × Work engagement — Multiple linear regression</w:t>
      </w:r>
    </w:p>
    <w:p>
      <w:pPr>
        <w:pStyle w:val="ListNumber"/>
        <w:numPr>
          <w:ilvl w:val="0"/>
          <w:numId w:val="13"/>
        </w:numPr>
      </w:pPr>
      <w:r>
        <w:t>From the menus at the top, choose Analyze &gt; Regression &gt; Linear....</w:t>
      </w:r>
    </w:p>
    <w:p>
      <w:pPr>
        <w:pStyle w:val="ListNumber"/>
        <w:numPr>
          <w:ilvl w:val="0"/>
          <w:numId w:val="13"/>
        </w:numPr>
      </w:pPr>
      <w:r>
        <w:t>Move «Work engagement» (work_engagement) into the box Dependent.</w:t>
      </w:r>
    </w:p>
    <w:p>
      <w:pPr>
        <w:pStyle w:val="ListNumber"/>
        <w:numPr>
          <w:ilvl w:val="0"/>
          <w:numId w:val="13"/>
        </w:numPr>
      </w:pPr>
      <w:r>
        <w:t>Move «Supervisor support» (supervisor_support) into the box Independent(s).</w:t>
      </w:r>
    </w:p>
    <w:p>
      <w:pPr>
        <w:pStyle w:val="ListNumber"/>
        <w:numPr>
          <w:ilvl w:val="0"/>
          <w:numId w:val="13"/>
        </w:numPr>
      </w:pPr>
      <w:r>
        <w:t>Move «Job autonomy» (job_autonomy) into the box Independent(s).</w:t>
      </w:r>
    </w:p>
    <w:p>
      <w:pPr>
        <w:pStyle w:val="ListNumber"/>
        <w:numPr>
          <w:ilvl w:val="0"/>
          <w:numId w:val="13"/>
        </w:numPr>
      </w:pPr>
      <w:r>
        <w:t>Move «Work arrangement» (d1) into the box Independent(s).</w:t>
      </w:r>
    </w:p>
    <w:p>
      <w:pPr>
        <w:pStyle w:val="ListNumber"/>
        <w:numPr>
          <w:ilvl w:val="0"/>
          <w:numId w:val="13"/>
        </w:numPr>
      </w:pPr>
      <w:r>
        <w:t>Move «Tenure with the employer» (d2) into the box Independent(s).</w:t>
      </w:r>
    </w:p>
    <w:p>
      <w:pPr>
        <w:pStyle w:val="ListNumber"/>
        <w:numPr>
          <w:ilvl w:val="0"/>
          <w:numId w:val="13"/>
        </w:numPr>
      </w:pPr>
      <w:r>
        <w:t>Click OK. The results open in the Output window.</w:t>
      </w:r>
    </w:p>
    <w:p>
      <w:r>
        <w:t>The same analysis as a command: this is its block in syntax.sps, which starts with the comment line shown first. To run only it: open syntax.sps, select these lines, and choose Run &gt; Selection.</w:t>
      </w:r>
    </w:p>
    <w:p>
      <w:pPr>
        <w:keepNext/>
        <w:shd w:val="clear" w:color="auto" w:fill="F2F2F2"/>
        <w:spacing w:before="120" w:after="0"/>
        <w:ind w:left="227"/>
      </w:pPr>
      <w:r>
        <w:rPr>
          <w:rFonts w:ascii="Courier New" w:hAnsi="Courier New" w:cs="Courier New" w:eastAsia="Courier New"/>
          <w:sz w:val="18"/>
        </w:rPr>
        <w:t>* ==== Analysis 4 of 5 (hypothesis A1) ====.</w:t>
      </w:r>
    </w:p>
    <w:p>
      <w:pPr>
        <w:keepNext/>
        <w:shd w:val="clear" w:color="auto" w:fill="F2F2F2"/>
        <w:spacing w:before="0" w:after="0"/>
        <w:ind w:left="227"/>
      </w:pPr>
      <w:r>
        <w:rPr>
          <w:rFonts w:ascii="Courier New" w:hAnsi="Courier New" w:cs="Courier New" w:eastAsia="Courier New"/>
          <w:sz w:val="18"/>
        </w:rPr>
        <w:t>REGRESSION /STATISTICS=COEFF CI(95) R ANOVA TOL</w:t>
      </w:r>
    </w:p>
    <w:p>
      <w:pPr>
        <w:keepNext/>
        <w:shd w:val="clear" w:color="auto" w:fill="F2F2F2"/>
        <w:spacing w:before="0" w:after="0"/>
        <w:ind w:left="227"/>
      </w:pPr>
      <w:r>
        <w:rPr>
          <w:rFonts w:ascii="Courier New" w:hAnsi="Courier New" w:cs="Courier New" w:eastAsia="Courier New"/>
          <w:sz w:val="18"/>
        </w:rPr>
        <w:t xml:space="preserve">  /DEPENDENT=work_engagement</w:t>
      </w:r>
    </w:p>
    <w:p>
      <w:pPr>
        <w:keepNext/>
        <w:shd w:val="clear" w:color="auto" w:fill="F2F2F2"/>
        <w:spacing w:before="0" w:after="0"/>
        <w:ind w:left="227"/>
      </w:pPr>
      <w:r>
        <w:rPr>
          <w:rFonts w:ascii="Courier New" w:hAnsi="Courier New" w:cs="Courier New" w:eastAsia="Courier New"/>
          <w:sz w:val="18"/>
        </w:rPr>
        <w:t xml:space="preserve">  /METHOD=ENTER supervisor_support job_autonomy d1 d2</w:t>
      </w:r>
    </w:p>
    <w:p>
      <w:pPr>
        <w:keepNext w:val="0"/>
        <w:shd w:val="clear" w:color="auto" w:fill="F2F2F2"/>
        <w:spacing w:before="0" w:after="120"/>
        <w:ind w:left="227"/>
      </w:pPr>
      <w:r>
        <w:rPr>
          <w:rFonts w:ascii="Courier New" w:hAnsi="Courier New" w:cs="Courier New" w:eastAsia="Courier New"/>
          <w:sz w:val="18"/>
        </w:rPr>
        <w:t xml:space="preserve">  /RESIDUALS DURBIN.</w:t>
      </w:r>
    </w:p>
    <w:p>
      <w:r>
        <w:t>In the table Coefficients, look at the column Sig., in the row of each predicting measure. This number is the p-value. It is the same number your findings chapter reports for the additional analysis Supervisor support, Job autonomy, Work arrangement, Tenure with the employer × Work engagement. Small differences in the last digit come from rounding.</w:t>
      </w:r>
    </w:p>
    <w:p>
      <w:pPr>
        <w:pStyle w:val="Heading4"/>
      </w:pPr>
      <w:r>
        <w:t>Analysis 5: the measurement-structure analysis — Exploratory factor analysis</w:t>
      </w:r>
    </w:p>
    <w:p>
      <w:r>
        <w:t>This analysis is easiest to repeat from its command: open syntax.sps, select the lines below, and choose Run &gt; Selection.</w:t>
      </w:r>
    </w:p>
    <w:p>
      <w:pPr>
        <w:keepNext/>
        <w:shd w:val="clear" w:color="auto" w:fill="F2F2F2"/>
        <w:spacing w:before="120" w:after="0"/>
        <w:ind w:left="227"/>
      </w:pPr>
      <w:r>
        <w:rPr>
          <w:rFonts w:ascii="Courier New" w:hAnsi="Courier New" w:cs="Courier New" w:eastAsia="Courier New"/>
          <w:sz w:val="18"/>
        </w:rPr>
        <w:t>* ==== Analysis 5 of 5 ====.</w:t>
      </w:r>
    </w:p>
    <w:p>
      <w:pPr>
        <w:keepNext/>
        <w:shd w:val="clear" w:color="auto" w:fill="F2F2F2"/>
        <w:spacing w:before="0" w:after="0"/>
        <w:ind w:left="227"/>
      </w:pPr>
      <w:r>
        <w:rPr>
          <w:rFonts w:ascii="Courier New" w:hAnsi="Courier New" w:cs="Courier New" w:eastAsia="Courier New"/>
          <w:sz w:val="18"/>
        </w:rPr>
        <w:t>FACTOR /VARIABLES=q1_1 q1_2 q1_3 q1_4 q1_5 q2_1 q2_2 q2_3 q2_4 q2_5 q3_1 q3_2 q3_3 q3_4 q3_5</w:t>
      </w:r>
    </w:p>
    <w:p>
      <w:pPr>
        <w:keepNext/>
        <w:shd w:val="clear" w:color="auto" w:fill="F2F2F2"/>
        <w:spacing w:before="0" w:after="0"/>
        <w:ind w:left="227"/>
      </w:pPr>
      <w:r>
        <w:rPr>
          <w:rFonts w:ascii="Courier New" w:hAnsi="Courier New" w:cs="Courier New" w:eastAsia="Courier New"/>
          <w:sz w:val="18"/>
        </w:rPr>
        <w:t xml:space="preserve">  /PRINT=INITIAL KMO EXTRACTION ROTATION</w:t>
      </w:r>
    </w:p>
    <w:p>
      <w:pPr>
        <w:keepNext/>
        <w:shd w:val="clear" w:color="auto" w:fill="F2F2F2"/>
        <w:spacing w:before="0" w:after="0"/>
        <w:ind w:left="227"/>
      </w:pPr>
      <w:r>
        <w:rPr>
          <w:rFonts w:ascii="Courier New" w:hAnsi="Courier New" w:cs="Courier New" w:eastAsia="Courier New"/>
          <w:sz w:val="18"/>
        </w:rPr>
        <w:t xml:space="preserve">  /EXTRACTION=ULS</w:t>
      </w:r>
    </w:p>
    <w:p>
      <w:pPr>
        <w:keepNext/>
        <w:shd w:val="clear" w:color="auto" w:fill="F2F2F2"/>
        <w:spacing w:before="0" w:after="0"/>
        <w:ind w:left="227"/>
      </w:pPr>
      <w:r>
        <w:rPr>
          <w:rFonts w:ascii="Courier New" w:hAnsi="Courier New" w:cs="Courier New" w:eastAsia="Courier New"/>
          <w:sz w:val="18"/>
        </w:rPr>
        <w:t xml:space="preserve">  /ROTATION=OBLIMIN</w:t>
      </w:r>
    </w:p>
    <w:p>
      <w:pPr>
        <w:keepNext/>
        <w:shd w:val="clear" w:color="auto" w:fill="F2F2F2"/>
        <w:spacing w:before="0" w:after="0"/>
        <w:ind w:left="227"/>
      </w:pPr>
      <w:r>
        <w:rPr>
          <w:rFonts w:ascii="Courier New" w:hAnsi="Courier New" w:cs="Courier New" w:eastAsia="Courier New"/>
          <w:sz w:val="18"/>
        </w:rPr>
        <w:t xml:space="preserve">  /CRITERIA=FACTORS(3)</w:t>
      </w:r>
    </w:p>
    <w:p>
      <w:pPr>
        <w:keepNext w:val="0"/>
        <w:shd w:val="clear" w:color="auto" w:fill="F2F2F2"/>
        <w:spacing w:before="0" w:after="120"/>
        <w:ind w:left="227"/>
      </w:pPr>
      <w:r>
        <w:rPr>
          <w:rFonts w:ascii="Courier New" w:hAnsi="Courier New" w:cs="Courier New" w:eastAsia="Courier New"/>
          <w:sz w:val="18"/>
        </w:rPr>
        <w:t xml:space="preserve">  /PLOT=EIGEN.</w:t>
      </w:r>
    </w:p>
    <w:p>
      <w:r>
        <w:t>Its tables appear in the Output window under the analysis's name, in the same order as in output.spv.</w:t>
      </w:r>
    </w:p>
    <w:p>
      <w:pPr>
        <w:pStyle w:val="Heading2"/>
      </w:pPr>
      <w:r>
        <w:t>7. What we did not do</w:t>
      </w:r>
    </w:p>
    <w:p>
      <w:r>
        <w:t>Everything in your approved plan was done.</w:t>
      </w:r>
    </w:p>
    <w:p>
      <w:pPr>
        <w:pStyle w:val="Heading2"/>
      </w:pPr>
      <w:r>
        <w:t>8. Good to know</w:t>
      </w:r>
    </w:p>
    <w:p>
      <w:r>
        <w:t>Institutional AI-use policies were not verified. Statikali does not check whether your academic institution, journal, or supervisor permits the use of AI-assisted analysis tools. Verifying those policies and complying with them remains your responsibility.</w:t>
      </w:r>
    </w:p>
    <w:p>
      <w:r>
        <w:t>An AI language model assisted only by writing the explanatory prose in this package. Every statistical computation, every number, and every test-selection decision was produced by a deterministic analysis engine — never by the AI.</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lang w:val="en-US" w:eastAsia="en-US" w:bidi="en-US"/>
      <w:rFonts w:ascii="Carlito" w:hAnsi="Carlito" w:eastAsia="Carlito" w:cs="Carlito"/>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rlito" w:hAnsi="Carlito" w:eastAsia="Carlito" w:cs="Carlito"/>
      <w:b/>
      <w:bCs/>
      <w:color w:val="171717" w:themeShade="BF"/>
      <w:sz w:val="28"/>
      <w:szCs w:val="28"/>
      <w:lang w:val="en-US" w:eastAsia="en-US" w:bidi="en-U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rlito" w:hAnsi="Carlito" w:eastAsia="Carlito" w:cs="Carlito"/>
      <w:b/>
      <w:bCs/>
      <w:color w:val="171717"/>
      <w:sz w:val="26"/>
      <w:szCs w:val="26"/>
      <w:lang w:val="en-US" w:eastAsia="en-US" w:bidi="en-U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rlito" w:hAnsi="Carlito" w:eastAsia="Carlito" w:cs="Carlito"/>
      <w:b/>
      <w:bCs/>
      <w:color w:val="171717"/>
      <w:lang w:val="en-US" w:eastAsia="en-US" w:bidi="en-U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rlito" w:hAnsi="Carlito" w:eastAsia="Carlito" w:cs="Carlito"/>
      <w:b/>
      <w:bCs/>
      <w:i/>
      <w:iCs/>
      <w:color w:val="171717"/>
      <w:lang w:val="en-US" w:eastAsia="en-US" w:bidi="en-U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rlito" w:hAnsi="Carlito" w:eastAsia="Carlito" w:cs="Carlito"/>
      <w:color w:val="171717" w:themeShade="7F"/>
      <w:lang w:val="en-US" w:eastAsia="en-US" w:bidi="en-US"/>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rlito" w:hAnsi="Carlito" w:eastAsia="Carlito" w:cs="Carlito"/>
      <w:color w:val="171717" w:themeShade="BF"/>
      <w:spacing w:val="5"/>
      <w:kern w:val="28"/>
      <w:sz w:val="52"/>
      <w:szCs w:val="52"/>
      <w:lang w:val="en-US" w:eastAsia="en-US" w:bidi="en-U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lang w:val="en-US" w:eastAsia="en-US" w:bidi="en-US"/>
      <w:rFonts w:ascii="Carlito" w:hAnsi="Carlito" w:eastAsia="Carlito" w:cs="Carlito"/>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lang w:val="en-US" w:eastAsia="en-US" w:bidi="en-US"/>
      <w:rFonts w:ascii="Carlito" w:hAnsi="Carlito" w:eastAsia="Carlito" w:cs="Carlito"/>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lang w:val="en-US" w:eastAsia="en-US" w:bidi="en-US"/>
      <w:rFonts w:ascii="Carlito" w:hAnsi="Carlito" w:eastAsia="Carlito" w:cs="Carlito"/>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2026-10-20T12:00:00Z</dcterms:created>
  <dcterms:modified xsi:type="dcterms:W3CDTF">2026-10-20T12:00:00Z</dcterms:modified>
  <cp:category/>
</cp:coreProperties>
</file>