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</w:pPr>
      <w:r>
        <w:rPr>
          <w:rtl/>
          <w:rFonts w:cs="Noto Sans Hebrew"/>
          <w:szCs w:val="24"/>
        </w:rPr>
        <w:t>פרק השיטה (טיוטת השלמה)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המבחנים הסטטיסטיים שבוצעו</w:t>
      </w:r>
    </w:p>
    <w:p>
      <w:pPr>
        <w:bidi/>
      </w:pPr>
      <w:r>
        <w:rPr>
          <w:rtl/>
          <w:rFonts w:cs="Noto Sans Hebrew"/>
          <w:szCs w:val="24"/>
        </w:rPr>
        <w:t>הניתוחים הבאים בוצעו: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ניתוח גורמים מגשש </w:t>
      </w:r>
      <w:r>
        <w:rPr>
          <w:rFonts w:cs="Carlito"/>
          <w:sz w:val="24"/>
          <w:szCs w:val="24"/>
          <w:lang w:val="en-US"/>
        </w:rPr>
        <w:t>‎(EFA)‎‏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מתאם פירסון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רגרסיה ליניארית מרובה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מבחן </w:t>
      </w:r>
      <w:r>
        <w:rPr>
          <w:rFonts w:cs="Carlito"/>
          <w:i/>
          <w:sz w:val="24"/>
          <w:szCs w:val="24"/>
          <w:lang w:val="en-US"/>
          <w:iCs/>
        </w:rPr>
        <w:t>‎t‎‏</w:t>
      </w:r>
      <w:r>
        <w:rPr>
          <w:rtl/>
          <w:rFonts w:cs="Noto Sans Hebrew"/>
          <w:szCs w:val="24"/>
        </w:rPr>
        <w:t xml:space="preserve"> למדגמים בלתי תלויים</w:t>
      </w:r>
    </w:p>
    <w:p>
      <w:pPr>
        <w:bidi/>
      </w:pPr>
      <w:r>
        <w:rPr>
          <w:rtl/>
          <w:rFonts w:cs="Noto Sans Hebrew"/>
          <w:szCs w:val="24"/>
        </w:rPr>
        <w:t>בנוסף בוצעו הניתוחים הגישושיים הבאים של משתני רקע. הם לא היו השערות מחקר.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הקשר בין תמיכת מנהל, אוטונומיה בעבודה, מתכונת עבודה, ותק במקום העבודה למעורבות בעבודה (רגרסיה ליניארית מרובה)</w:t>
      </w:r>
    </w:p>
    <w:p>
      <w:pPr>
        <w:bidi/>
      </w:pPr>
      <w:r>
        <w:rPr>
          <w:rtl/>
          <w:rFonts w:cs="Noto Sans Hebrew"/>
          <w:szCs w:val="24"/>
        </w:rPr>
        <w:t>ערכי ה-</w:t>
      </w:r>
      <w:r>
        <w:rPr>
          <w:rFonts w:cs="Carlito"/>
          <w:i/>
          <w:sz w:val="24"/>
          <w:szCs w:val="24"/>
          <w:lang w:val="en-US"/>
          <w:iCs/>
        </w:rPr>
        <w:t>‎p‎‏</w:t>
      </w:r>
      <w:r>
        <w:rPr>
          <w:rtl/>
          <w:rFonts w:cs="Noto Sans Hebrew"/>
          <w:szCs w:val="24"/>
        </w:rPr>
        <w:t xml:space="preserve"> שלהם תוקנו יחד כמשפחה גישושית אחת בתיקון בנימיני-הוכברג (שיעור תגליות שווא), שנקבע בתוכנית הניתוח לפני שבוצע מבחן כלשהו.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מדגם ונתונים חסרים</w:t>
      </w:r>
    </w:p>
    <w:p>
      <w:pPr>
        <w:bidi/>
      </w:pPr>
      <w:r>
        <w:rPr>
          <w:rtl/>
          <w:rFonts w:cs="Noto Sans Hebrew"/>
          <w:szCs w:val="24"/>
        </w:rPr>
        <w:t xml:space="preserve">מדגם הניתוח כלל </w:t>
      </w:r>
      <w:r>
        <w:rPr>
          <w:rFonts w:cs="Carlito"/>
          <w:sz w:val="24"/>
          <w:szCs w:val="24"/>
          <w:lang w:val="en-US"/>
        </w:rPr>
        <w:t>‎360‎‏</w:t>
      </w:r>
      <w:r>
        <w:rPr>
          <w:rtl/>
          <w:rFonts w:cs="Noto Sans Hebrew"/>
          <w:szCs w:val="24"/>
        </w:rPr>
        <w:t xml:space="preserve"> משתתפים.</w:t>
      </w:r>
    </w:p>
    <w:p>
      <w:pPr>
        <w:bidi/>
      </w:pPr>
      <w:r>
        <w:rPr>
          <w:rtl/>
          <w:rFonts w:cs="Noto Sans Hebrew"/>
          <w:szCs w:val="24"/>
        </w:rPr>
        <w:t>לא נדרש טיפול בנתונים חסרים במשתני הניתוח.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סטטיסטיקה תיאורית</w:t>
      </w:r>
    </w:p>
    <w:p>
      <w:pPr>
        <w:bidi/>
      </w:pPr>
      <w:r>
        <w:rPr>
          <w:rtl/>
          <w:rFonts w:cs="Noto Sans Hebrew"/>
          <w:szCs w:val="24"/>
        </w:rPr>
        <w:t>הסטטיסטיקות התיאוריות נבחרו לפי רמת המדידה, בהצהרה מראש: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משתנים שמיים מתוארים בשכיחויות ובאחוזים, כולל דיווח הקטגוריה השכיחה.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משתנים סודרים מתוארים באמצעות החציון והטווח הבין-רבעוני.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עבור משתנים סודרים מדווחים בנוסף הממוצע וסטיית התקן, בסימון כתוספת לחציון ולטווח הבין-רבעוני.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משתני רווח ויחס מתוארים בממוצע ובסטיית התקן, כולל דיווח צידוד וגבנוניות.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ציוני סולם שנוצרו מסכימה או ממוצע של פריטים טופלו כמשתנים רציפים לצורך התיאור.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מהימנות</w:t>
      </w:r>
    </w:p>
    <w:p>
      <w:pPr>
        <w:bidi/>
      </w:pPr>
      <w:r>
        <w:rPr>
          <w:rtl/>
          <w:rFonts w:cs="Noto Sans Hebrew"/>
          <w:szCs w:val="24"/>
        </w:rPr>
        <w:t>מהימנות העקביות הפנימית נבדקה: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אוטונומיה בעבודה: </w:t>
      </w:r>
      <w:r>
        <w:rPr>
          <w:rFonts w:cs="Carlito"/>
          <w:sz w:val="24"/>
          <w:szCs w:val="24"/>
          <w:lang w:val="en-US"/>
        </w:rPr>
        <w:t>‎α = .84, 5‎‏</w:t>
      </w:r>
      <w:r>
        <w:rPr>
          <w:rtl/>
          <w:rFonts w:cs="Noto Sans Hebrew"/>
          <w:szCs w:val="24"/>
        </w:rPr>
        <w:t xml:space="preserve"> פריטים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תמיכת מנהל: </w:t>
      </w:r>
      <w:r>
        <w:rPr>
          <w:rFonts w:cs="Carlito"/>
          <w:sz w:val="24"/>
          <w:szCs w:val="24"/>
          <w:lang w:val="en-US"/>
        </w:rPr>
        <w:t>‎α = .84, 5‎‏</w:t>
      </w:r>
      <w:r>
        <w:rPr>
          <w:rtl/>
          <w:rFonts w:cs="Noto Sans Hebrew"/>
          <w:szCs w:val="24"/>
        </w:rPr>
        <w:t xml:space="preserve"> פריטים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מעורבות בעבודה: </w:t>
      </w:r>
      <w:r>
        <w:rPr>
          <w:rFonts w:cs="Carlito"/>
          <w:sz w:val="24"/>
          <w:szCs w:val="24"/>
          <w:lang w:val="en-US"/>
        </w:rPr>
        <w:t>‎α = .86, 5‎‏</w:t>
      </w:r>
      <w:r>
        <w:rPr>
          <w:rtl/>
          <w:rFonts w:cs="Noto Sans Hebrew"/>
          <w:szCs w:val="24"/>
        </w:rPr>
        <w:t xml:space="preserve"> פריטים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בדיקות הנחות</w:t>
      </w:r>
    </w:p>
    <w:p>
      <w:pPr>
        <w:bidi/>
      </w:pPr>
      <w:r>
        <w:rPr>
          <w:rtl/>
          <w:rFonts w:cs="Noto Sans Hebrew"/>
          <w:szCs w:val="24"/>
        </w:rPr>
        <w:t>ההנחות שבבסיס המבחנים נבדקו; במקום שבו הנחה לא התקיימה, יושם המסלול החלופי שנקבע מראש: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מתאם פירסון: ליניאריות — התקיימה. מבחן הנורמליות נמצא מובהק, אך במדגם של 30 נבדקים ומעלה ובצורת התפלגות שאינה חריגה המבחן המתוכנן נשמר; הסטייה מדווחת כאן.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רגרסיה ליניארית מרובה: ליניאריות — התקיימה; מולטיקולינאריות — התקיימה; נורמליות — התקיימה; הומוסקדסטיות — התקיימה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 xml:space="preserve">מבחן </w:t>
      </w:r>
      <w:r>
        <w:rPr>
          <w:rFonts w:cs="Carlito"/>
          <w:i/>
          <w:sz w:val="24"/>
          <w:szCs w:val="24"/>
          <w:lang w:val="en-US"/>
          <w:iCs/>
        </w:rPr>
        <w:t>‎t‎‏</w:t>
      </w:r>
      <w:r>
        <w:rPr>
          <w:rtl/>
          <w:rFonts w:cs="Noto Sans Hebrew"/>
          <w:szCs w:val="24"/>
        </w:rPr>
        <w:t xml:space="preserve"> למדגמים בלתי תלויים: נורמליות — התקיימה. מבחן הנורמליות נמצא מובהק, אך במדגם של 30 נבדקים ומעלה ובצורת התפלגות שאינה חריגה המבחן המתוכנן נשמר; הסטייה מדווחת כאן.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רגרסיה ליניארית מרובה: ליניאריות — התקיימה; מולטיקולינאריות — התקיימה; נורמליות — התקיימה; הומוסקדסטיות — התקיימה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אבחוני המודל</w:t>
      </w:r>
    </w:p>
    <w:p>
      <w:pPr>
        <w:bidi/>
      </w:pPr>
      <w:r>
        <w:rPr>
          <w:rtl/>
          <w:rFonts w:cs="Noto Sans Hebrew"/>
          <w:szCs w:val="24"/>
        </w:rPr>
        <w:t>אבחוני השאריות חושבו על כל מודל שהותאם -- ובניתוח מיתון או תיווך, על כל אחת ממשוואותיו, כולל איברי האינטראקציה. בדיקה מתקיימת כאשר ערך ה-</w:t>
      </w:r>
      <w:r>
        <w:rPr>
          <w:rFonts w:cs="Carlito"/>
          <w:i/>
          <w:sz w:val="24"/>
          <w:szCs w:val="24"/>
          <w:lang w:val="en-US"/>
          <w:iCs/>
        </w:rPr>
        <w:t>‎p‎‏</w:t>
      </w:r>
      <w:r>
        <w:rPr>
          <w:rtl/>
          <w:rFonts w:cs="Noto Sans Hebrew"/>
          <w:szCs w:val="24"/>
        </w:rPr>
        <w:t xml:space="preserve"> שלה שווה לסף ההנחות שנקבע מראש או גבוה ממנו; מקדם ניפוח השונות נבחן מול סף ה-</w:t>
      </w:r>
      <w:r>
        <w:rPr>
          <w:rFonts w:cs="Carlito"/>
          <w:sz w:val="24"/>
          <w:szCs w:val="24"/>
          <w:lang w:val="en-US"/>
        </w:rPr>
        <w:t>‎VIF‎‏</w:t>
      </w:r>
      <w:r>
        <w:rPr>
          <w:rtl/>
          <w:rFonts w:cs="Noto Sans Hebrew"/>
          <w:szCs w:val="24"/>
        </w:rPr>
        <w:t xml:space="preserve"> שנקבע מראש, על המודל ללא איברי אינטראקציה, שבו הוא בעל משמעות.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רגרסיה ליניארית מרובה: נורמליות השאריות (שפירו-וילק) — התקיימה (</w:t>
      </w:r>
      <w:r>
        <w:rPr>
          <w:rFonts w:cs="Carlito"/>
          <w:i/>
          <w:sz w:val="24"/>
          <w:szCs w:val="24"/>
          <w:lang w:val="en-US"/>
          <w:iCs/>
        </w:rPr>
        <w:t>‎p</w:t>
      </w:r>
      <w:r>
        <w:rPr>
          <w:rFonts w:cs="Carlito"/>
          <w:sz w:val="24"/>
          <w:szCs w:val="24"/>
          <w:lang w:val="en-US"/>
        </w:rPr>
        <w:t xml:space="preserve"> = .463‎‏</w:t>
      </w:r>
      <w:r>
        <w:rPr>
          <w:rtl/>
          <w:rFonts w:cs="Noto Sans Hebrew"/>
          <w:szCs w:val="24"/>
        </w:rPr>
        <w:t>); הומוסקדסטיות (ברויש-פגן) — התקיימה (</w:t>
      </w:r>
      <w:r>
        <w:rPr>
          <w:rFonts w:cs="Carlito"/>
          <w:i/>
          <w:sz w:val="24"/>
          <w:szCs w:val="24"/>
          <w:lang w:val="en-US"/>
          <w:iCs/>
        </w:rPr>
        <w:t>‎p</w:t>
      </w:r>
      <w:r>
        <w:rPr>
          <w:rFonts w:cs="Carlito"/>
          <w:sz w:val="24"/>
          <w:szCs w:val="24"/>
          <w:lang w:val="en-US"/>
        </w:rPr>
        <w:t xml:space="preserve"> = .916‎‏</w:t>
      </w:r>
      <w:r>
        <w:rPr>
          <w:rtl/>
          <w:rFonts w:cs="Noto Sans Hebrew"/>
          <w:szCs w:val="24"/>
        </w:rPr>
        <w:t xml:space="preserve">); רב-קוויליניאריות </w:t>
      </w:r>
      <w:r>
        <w:rPr>
          <w:rFonts w:cs="Carlito"/>
          <w:sz w:val="24"/>
          <w:szCs w:val="24"/>
          <w:lang w:val="en-US"/>
        </w:rPr>
        <w:t>‎(VIF)‎‏</w:t>
      </w:r>
      <w:r>
        <w:rPr>
          <w:rtl/>
          <w:rFonts w:cs="Noto Sans Hebrew"/>
          <w:szCs w:val="24"/>
        </w:rPr>
        <w:t xml:space="preserve"> — התקיימה (</w:t>
      </w:r>
      <w:r>
        <w:rPr>
          <w:rFonts w:cs="Carlito"/>
          <w:sz w:val="24"/>
          <w:szCs w:val="24"/>
          <w:lang w:val="en-US"/>
        </w:rPr>
        <w:t>‎VIF‎‏</w:t>
      </w:r>
      <w:r>
        <w:rPr>
          <w:rtl/>
          <w:rFonts w:cs="Noto Sans Hebrew"/>
          <w:szCs w:val="24"/>
        </w:rPr>
        <w:t xml:space="preserve"> הגבוה ביותר: </w:t>
      </w:r>
      <w:r>
        <w:rPr>
          <w:rFonts w:cs="Carlito"/>
          <w:sz w:val="24"/>
          <w:szCs w:val="24"/>
          <w:lang w:val="en-US"/>
        </w:rPr>
        <w:t>‎VIF = 1.03‎‏</w:t>
      </w:r>
      <w:r>
        <w:rPr>
          <w:rtl/>
          <w:rFonts w:cs="Noto Sans Hebrew"/>
          <w:szCs w:val="24"/>
        </w:rPr>
        <w:t xml:space="preserve">); תצפיות משפיעות (מרחק קוק מעל </w:t>
      </w:r>
      <w:r>
        <w:rPr>
          <w:rFonts w:cs="Carlito"/>
          <w:sz w:val="24"/>
          <w:szCs w:val="24"/>
          <w:lang w:val="en-US"/>
        </w:rPr>
        <w:t>‎4/n): 19‎‏</w:t>
      </w:r>
    </w:p>
    <w:p>
      <w:pPr>
        <w:pStyle w:val="ListBullet"/>
        <w:bidi/>
      </w:pPr>
      <w:r>
        <w:rPr>
          <w:rtl/>
          <w:rFonts w:cs="Noto Sans Hebrew"/>
          <w:szCs w:val="24"/>
        </w:rPr>
        <w:t>רגרסיה ליניארית מרובה: נורמליות השאריות (שפירו-וילק) — התקיימה (</w:t>
      </w:r>
      <w:r>
        <w:rPr>
          <w:rFonts w:cs="Carlito"/>
          <w:i/>
          <w:sz w:val="24"/>
          <w:szCs w:val="24"/>
          <w:lang w:val="en-US"/>
          <w:iCs/>
        </w:rPr>
        <w:t>‎p</w:t>
      </w:r>
      <w:r>
        <w:rPr>
          <w:rFonts w:cs="Carlito"/>
          <w:sz w:val="24"/>
          <w:szCs w:val="24"/>
          <w:lang w:val="en-US"/>
        </w:rPr>
        <w:t xml:space="preserve"> = .855‎‏</w:t>
      </w:r>
      <w:r>
        <w:rPr>
          <w:rtl/>
          <w:rFonts w:cs="Noto Sans Hebrew"/>
          <w:szCs w:val="24"/>
        </w:rPr>
        <w:t>); הומוסקדסטיות (ברויש-פגן) — התקיימה (</w:t>
      </w:r>
      <w:r>
        <w:rPr>
          <w:rFonts w:cs="Carlito"/>
          <w:i/>
          <w:sz w:val="24"/>
          <w:szCs w:val="24"/>
          <w:lang w:val="en-US"/>
          <w:iCs/>
        </w:rPr>
        <w:t>‎p</w:t>
      </w:r>
      <w:r>
        <w:rPr>
          <w:rFonts w:cs="Carlito"/>
          <w:sz w:val="24"/>
          <w:szCs w:val="24"/>
          <w:lang w:val="en-US"/>
        </w:rPr>
        <w:t xml:space="preserve"> = .623‎‏</w:t>
      </w:r>
      <w:r>
        <w:rPr>
          <w:rtl/>
          <w:rFonts w:cs="Noto Sans Hebrew"/>
          <w:szCs w:val="24"/>
        </w:rPr>
        <w:t xml:space="preserve">); רב-קוויליניאריות </w:t>
      </w:r>
      <w:r>
        <w:rPr>
          <w:rFonts w:cs="Carlito"/>
          <w:sz w:val="24"/>
          <w:szCs w:val="24"/>
          <w:lang w:val="en-US"/>
        </w:rPr>
        <w:t>‎(VIF)‎‏</w:t>
      </w:r>
      <w:r>
        <w:rPr>
          <w:rtl/>
          <w:rFonts w:cs="Noto Sans Hebrew"/>
          <w:szCs w:val="24"/>
        </w:rPr>
        <w:t xml:space="preserve"> — התקיימה (</w:t>
      </w:r>
      <w:r>
        <w:rPr>
          <w:rFonts w:cs="Carlito"/>
          <w:sz w:val="24"/>
          <w:szCs w:val="24"/>
          <w:lang w:val="en-US"/>
        </w:rPr>
        <w:t>‎VIF‎‏</w:t>
      </w:r>
      <w:r>
        <w:rPr>
          <w:rtl/>
          <w:rFonts w:cs="Noto Sans Hebrew"/>
          <w:szCs w:val="24"/>
        </w:rPr>
        <w:t xml:space="preserve"> הגבוה ביותר: </w:t>
      </w:r>
      <w:r>
        <w:rPr>
          <w:rFonts w:cs="Carlito"/>
          <w:sz w:val="24"/>
          <w:szCs w:val="24"/>
          <w:lang w:val="en-US"/>
        </w:rPr>
        <w:t>‎VIF = 1.05‎‏</w:t>
      </w:r>
      <w:r>
        <w:rPr>
          <w:rtl/>
          <w:rFonts w:cs="Noto Sans Hebrew"/>
          <w:szCs w:val="24"/>
        </w:rPr>
        <w:t xml:space="preserve">); תצפיות משפיעות (מרחק קוק מעל </w:t>
      </w:r>
      <w:r>
        <w:rPr>
          <w:rFonts w:cs="Carlito"/>
          <w:sz w:val="24"/>
          <w:szCs w:val="24"/>
          <w:lang w:val="en-US"/>
        </w:rPr>
        <w:t>‎4/n): 16‎‏</w:t>
      </w:r>
    </w:p>
    <w:p>
      <w:pPr>
        <w:pStyle w:val="Heading2"/>
        <w:bidi/>
      </w:pPr>
      <w:r>
        <w:rPr>
          <w:rtl/>
          <w:rFonts w:cs="Noto Sans Hebrew"/>
          <w:szCs w:val="24"/>
        </w:rPr>
        <w:t>תוכנה</w:t>
      </w:r>
    </w:p>
    <w:p>
      <w:pPr>
        <w:bidi/>
      </w:pPr>
      <w:r>
        <w:rPr>
          <w:rtl/>
          <w:rFonts w:cs="Noto Sans Hebrew"/>
          <w:szCs w:val="24"/>
        </w:rPr>
        <w:t>הפלט הסטטיסטי מסופק בפורמט תואם-</w:t>
      </w:r>
      <w:r>
        <w:rPr>
          <w:rFonts w:cs="Carlito"/>
          <w:sz w:val="24"/>
          <w:szCs w:val="24"/>
          <w:lang w:val="en-US"/>
        </w:rPr>
        <w:t>‎SPSS‎‏</w:t>
      </w:r>
      <w:r>
        <w:rPr>
          <w:rtl/>
          <w:rFonts w:cs="Noto Sans Hebrew"/>
          <w:szCs w:val="24"/>
        </w:rPr>
        <w:t xml:space="preserve">. כל הנתונים חושבו באמצעות מנוע סטטיסטי מאומת ומדווחים בדיוק מלא. הגרפים בפרק הממצאים הופקו באמצעות </w:t>
      </w:r>
      <w:r>
        <w:rPr>
          <w:rFonts w:cs="Carlito"/>
          <w:sz w:val="24"/>
          <w:szCs w:val="24"/>
          <w:lang w:val="en-US"/>
        </w:rPr>
        <w:t>‎Microsoft Excel‎‏</w:t>
      </w:r>
      <w:r>
        <w:rPr>
          <w:rtl/>
          <w:rFonts w:cs="Noto Sans Hebrew"/>
          <w:szCs w:val="24"/>
        </w:rPr>
        <w:t>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lang w:val="en-US" w:eastAsia="en-US" w:bidi="he-IL"/>
      <w:rFonts w:ascii="Carlito" w:hAnsi="Carlito" w:eastAsia="Carlito" w:cs="Noto Sans Hebrew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  <w:bidi/>
    </w:pPr>
    <w:rPr>
      <w:rFonts w:ascii="Carlito" w:hAnsi="Carlito" w:eastAsia="Carlito" w:cs="Noto Sans Hebrew"/>
      <w:b/>
      <w:bCs/>
      <w:color w:val="171717" w:themeShade="BF"/>
      <w:sz w:val="28"/>
      <w:szCs w:val="28"/>
      <w:lang w:val="en-US" w:eastAsia="en-US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  <w:bidi/>
    </w:pPr>
    <w:rPr>
      <w:rFonts w:ascii="Carlito" w:hAnsi="Carlito" w:eastAsia="Carlito" w:cs="Noto Sans Hebrew"/>
      <w:b/>
      <w:bCs/>
      <w:color w:val="171717"/>
      <w:sz w:val="26"/>
      <w:szCs w:val="26"/>
      <w:lang w:val="en-US" w:eastAsia="en-US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  <w:bidi/>
    </w:pPr>
    <w:rPr>
      <w:rFonts w:ascii="Carlito" w:hAnsi="Carlito" w:eastAsia="Carlito" w:cs="Noto Sans Hebrew"/>
      <w:b/>
      <w:bCs/>
      <w:color w:val="171717"/>
      <w:lang w:val="en-US" w:eastAsia="en-US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  <w:bidi/>
    </w:pPr>
    <w:rPr>
      <w:rFonts w:ascii="Carlito" w:hAnsi="Carlito" w:eastAsia="Carlito" w:cs="Noto Sans Hebrew"/>
      <w:b/>
      <w:bCs/>
      <w:i/>
      <w:iCs/>
      <w:color w:val="171717"/>
      <w:lang w:val="en-US" w:eastAsia="en-US" w:bidi="he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  <w:bidi/>
    </w:pPr>
    <w:rPr>
      <w:rFonts w:ascii="Carlito" w:hAnsi="Carlito" w:eastAsia="Carlito" w:cs="Noto Sans Hebrew"/>
      <w:color w:val="171717" w:themeShade="7F"/>
      <w:lang w:val="en-US" w:eastAsia="en-US" w:bidi="he-I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  <w:bidi/>
    </w:pPr>
    <w:rPr>
      <w:rFonts w:ascii="Carlito" w:hAnsi="Carlito" w:eastAsia="Carlito" w:cs="Noto Sans Hebrew"/>
      <w:color w:val="171717" w:themeShade="BF"/>
      <w:spacing w:val="5"/>
      <w:kern w:val="28"/>
      <w:sz w:val="52"/>
      <w:szCs w:val="52"/>
      <w:lang w:val="en-US" w:eastAsia="en-US" w:bidi="he-I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bidi/>
    </w:pPr>
    <w:rPr>
      <w:lang w:val="en-US" w:eastAsia="en-US" w:bidi="he-IL"/>
      <w:rFonts w:ascii="Carlito" w:hAnsi="Carlito" w:eastAsia="Carlito" w:cs="Noto Sans Hebrew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bidi/>
    </w:pPr>
    <w:rPr>
      <w:lang w:val="en-US" w:eastAsia="en-US" w:bidi="he-IL"/>
      <w:rFonts w:ascii="Carlito" w:hAnsi="Carlito" w:eastAsia="Carlito" w:cs="Noto Sans Hebrew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bidi/>
    </w:pPr>
    <w:rPr>
      <w:i/>
      <w:iCs/>
      <w:color w:val="000000" w:themeColor="text1"/>
      <w:lang w:val="en-US" w:eastAsia="en-US" w:bidi="he-IL"/>
      <w:rFonts w:ascii="Carlito" w:hAnsi="Carlito" w:eastAsia="Carlito" w:cs="Noto Sans Hebrew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2026-10-20T12:00:00Z</dcterms:created>
  <dcterms:modified xsi:type="dcterms:W3CDTF">2026-10-20T12:00:00Z</dcterms:modified>
  <cp:category/>
</cp:coreProperties>
</file>