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pPr>
      <w:r>
        <w:rPr>
          <w:rtl/>
          <w:rFonts w:cs="Noto Sans Hebrew"/>
          <w:szCs w:val="24"/>
        </w:rPr>
        <w:t>מדריך הכנה לפגישת ייעוץ</w:t>
      </w:r>
    </w:p>
    <w:p>
      <w:pPr>
        <w:pStyle w:val="Heading2"/>
        <w:bidi/>
      </w:pPr>
    </w:p>
    <w:p>
      <w:pPr>
        <w:bidi/>
      </w:pPr>
      <w:r>
        <w:rPr>
          <w:rtl/>
          <w:rFonts w:cs="Noto Sans Hebrew"/>
          <w:szCs w:val="24"/>
        </w:rPr>
        <w:t>מדריך זה מכין אתכם להסביר ולהגן על כל החלטת ניתוח בפגישה שלכם עם המנחה האקדמי.</w:t>
      </w:r>
    </w:p>
    <w:p>
      <w:pPr>
        <w:pStyle w:val="Heading2"/>
        <w:bidi/>
      </w:pPr>
      <w:r>
        <w:rPr>
          <w:rFonts w:cs="Carlito"/>
          <w:sz w:val="24"/>
          <w:szCs w:val="24"/>
          <w:lang w:val="en-US"/>
        </w:rPr>
        <w:t>‎Q1‎‏</w:t>
      </w:r>
      <w:r>
        <w:rPr>
          <w:rtl/>
          <w:rFonts w:cs="Noto Sans Hebrew"/>
          <w:szCs w:val="24"/>
        </w:rPr>
        <w:t xml:space="preserve">: מדוע נבחר הניתוח מתאם פירסון עבור </w:t>
      </w:r>
      <w:r>
        <w:rPr>
          <w:rFonts w:cs="Carlito"/>
          <w:sz w:val="24"/>
          <w:szCs w:val="24"/>
          <w:lang w:val="en-US"/>
        </w:rPr>
        <w:t>‎H1‎‏</w:t>
      </w:r>
      <w:r>
        <w:rPr>
          <w:rtl/>
          <w:rFonts w:cs="Noto Sans Hebrew"/>
          <w:szCs w:val="24"/>
        </w:rPr>
        <w:t>?</w:t>
      </w:r>
    </w:p>
    <w:p>
      <w:pPr>
        <w:bidi/>
      </w:pPr>
      <w:r>
        <w:rPr>
          <w:rtl/>
          <w:rFonts w:cs="Noto Sans Hebrew"/>
          <w:szCs w:val="24"/>
        </w:rPr>
        <w:t xml:space="preserve">הניתוח מתאם פירסון נבחר עבור </w:t>
      </w:r>
      <w:r>
        <w:rPr>
          <w:rFonts w:cs="Carlito"/>
          <w:sz w:val="24"/>
          <w:szCs w:val="24"/>
          <w:lang w:val="en-US"/>
        </w:rPr>
        <w:t>‎H1‎‏</w:t>
      </w:r>
      <w:r>
        <w:rPr>
          <w:rtl/>
          <w:rFonts w:cs="Noto Sans Hebrew"/>
          <w:szCs w:val="24"/>
        </w:rPr>
        <w:t xml:space="preserve"> על בסיס תכנון המחקר ומבנה המדידה.</w:t>
      </w:r>
    </w:p>
    <w:p>
      <w:pPr>
        <w:bidi/>
      </w:pPr>
      <w:r>
        <w:rPr>
          <w:rtl/>
          <w:rFonts w:cs="Noto Sans Hebrew"/>
          <w:szCs w:val="24"/>
        </w:rPr>
        <w:t xml:space="preserve">בחרנו במתאם פירסון עבור </w:t>
      </w:r>
      <w:r>
        <w:rPr>
          <w:rFonts w:cs="Carlito"/>
          <w:sz w:val="24"/>
          <w:szCs w:val="24"/>
          <w:lang w:val="en-US"/>
        </w:rPr>
        <w:t>‎H1‎‏</w:t>
      </w:r>
      <w:r>
        <w:rPr>
          <w:rtl/>
          <w:rFonts w:cs="Noto Sans Hebrew"/>
          <w:szCs w:val="24"/>
        </w:rPr>
        <w:t xml:space="preserve"> מכיוון שההשערה שלכם עוסקת בקשר ליניארי בין שני משתנים רציפים - ציון המסוגלות האקדמית וציון ההתמדה בלמידה - שכל אחד מהם מתקבל כממוצע של חמישה פריטים על סולם דיווח עצמי. מאחר שמדובר במערך מתאמי של מדידה אחת לכל משיב, ללא הקצאה לקבוצות, מתאם פירסון הוא הכלי הטבעי לבחון את עוצמת וכיוון הקשר, ובפרט לאחר שבדקתם את הפיזור, את הליניאריות ואת קיומם של ערכים משפיעים כפי שביקשתם. כך תוכלו להציג לאדווייזר גם את עוצמת הקשר וגם את רווח הסמך הנלווה אליו, בהתאם למבחן הדו-צדדי ברמת המובהקות שנקבעה מראש.</w:t>
      </w:r>
    </w:p>
    <w:p>
      <w:pPr>
        <w:pStyle w:val="Heading2"/>
        <w:bidi/>
      </w:pPr>
      <w:r>
        <w:rPr>
          <w:rFonts w:cs="Carlito"/>
          <w:sz w:val="24"/>
          <w:szCs w:val="24"/>
          <w:lang w:val="en-US"/>
        </w:rPr>
        <w:t>‎Q2‎‏</w:t>
      </w:r>
      <w:r>
        <w:rPr>
          <w:rtl/>
          <w:rFonts w:cs="Noto Sans Hebrew"/>
          <w:szCs w:val="24"/>
        </w:rPr>
        <w:t>: מדוע מבחן זה ולא מתאם ספירמן?</w:t>
      </w:r>
    </w:p>
    <w:p>
      <w:pPr>
        <w:bidi/>
      </w:pPr>
      <w:r>
        <w:rPr>
          <w:rtl/>
          <w:rFonts w:cs="Noto Sans Hebrew"/>
          <w:szCs w:val="24"/>
        </w:rPr>
        <w:t>מתאם פירסון שימש במקום מתאם ספירמן משום שאת מתאם ספירמן שמרנו כגיבוי. משתמשים בו רק אם הנתונים שלכם לא עומדים בתנאים שמתאם פירסון צריך, ואת התנאים האלה אנחנו בודקים לפני שהמבחן מורץ..</w:t>
      </w:r>
    </w:p>
    <w:p>
      <w:pPr>
        <w:bidi/>
      </w:pPr>
      <w:r>
        <w:rPr>
          <w:rtl/>
          <w:rFonts w:cs="Noto Sans Hebrew"/>
          <w:szCs w:val="24"/>
        </w:rPr>
        <w:t>בחרנו להשתמש במתאם פירסון כי המשתנים שלכם, ציון המסוגלות האקדמית וציון ההתמדה בלמידה, הם משתנים ברמת מדידה רציפה (אינטרוול/יחס), וזהו בדיוק סוג הנתונים שעבורו מתאם פירסון הוא הכלי הסטטיסטי המתאים כברירת מחדל. חשוב להדגיש כלפי היועץ שההחלטה הזו מתקבלת בשלב בחירת הניתוח, לפני שבכלל בודקים הנחות כמו נורמליות או שוויון שונויות, ולכן מתאם ספירמן אינו שיקול באותו שלב - הוא עשוי להיכנס לתמונה רק אם בשלב הביצוע בפועל יתגלה כי הנחות אלו אינן מתקיימות. כך שתוכלו להסביר בביטחון שהבחירה בפירסון נשענת על מבנה הנתונים עצמו, ולא על החלטה מקרית או שרירותית.</w:t>
      </w:r>
    </w:p>
    <w:p>
      <w:pPr>
        <w:pStyle w:val="Heading2"/>
        <w:bidi/>
      </w:pPr>
      <w:r>
        <w:rPr>
          <w:rtl/>
          <w:rFonts w:cs="Noto Sans Hebrew"/>
          <w:szCs w:val="24"/>
        </w:rPr>
        <w:t>גרסאות מלאות להצגת הממצאים</w:t>
      </w:r>
    </w:p>
    <w:p>
      <w:pPr>
        <w:bidi/>
      </w:pPr>
      <w:r>
        <w:rPr>
          <w:rtl/>
          <w:rFonts w:cs="Noto Sans Hebrew"/>
          <w:szCs w:val="24"/>
        </w:rPr>
        <w:t>פרק הממצאים מציג כל תוצאה בצורה המקובלת ברוב העבודות. כאן מופיעה כל השערה גם בגרסה המלאה, עם רכיבים נוספים שחלק מהמרצים מבקשים. אם הם נדרשים אצלכם, אפשר להחליף את הסעיף בפרק בגרסה שלהלן (העתק-הדבק). המספרים זהים בשתי הגרסאות.</w:t>
      </w:r>
    </w:p>
    <w:p>
      <w:pPr>
        <w:bidi/>
      </w:pPr>
      <w:r>
        <w:rPr>
          <w:rtl/>
          <w:rFonts w:cs="Noto Sans Hebrew"/>
          <w:szCs w:val="24"/>
        </w:rPr>
        <w:t xml:space="preserve">כשהשערה נבדקה במבחן שיש לו צורה חד-זנבית וצורה דו-זנבית, הסעיף שלה כאן מביא גם את הצורה האחרת: אותו ערך של סטטיסטי המבחן עם ערך </w:t>
      </w:r>
      <w:r>
        <w:rPr>
          <w:rFonts w:cs="Carlito"/>
          <w:i/>
          <w:sz w:val="24"/>
          <w:szCs w:val="24"/>
          <w:lang w:val="en-US"/>
          <w:iCs/>
        </w:rPr>
        <w:t>‎p‎‏</w:t>
      </w:r>
      <w:r>
        <w:rPr>
          <w:rtl/>
          <w:rFonts w:cs="Noto Sans Hebrew"/>
          <w:szCs w:val="24"/>
        </w:rPr>
        <w:t xml:space="preserve"> האחר, מוכן להעתקה. בשונה מהגרסאות המלאות, ערך </w:t>
      </w:r>
      <w:r>
        <w:rPr>
          <w:rFonts w:cs="Carlito"/>
          <w:i/>
          <w:sz w:val="24"/>
          <w:szCs w:val="24"/>
          <w:lang w:val="en-US"/>
          <w:iCs/>
        </w:rPr>
        <w:t>‎p‎‏</w:t>
      </w:r>
      <w:r>
        <w:rPr>
          <w:rtl/>
          <w:rFonts w:cs="Noto Sans Hebrew"/>
          <w:szCs w:val="24"/>
        </w:rPr>
        <w:t xml:space="preserve"> שם שונה מזה שבפרק.</w:t>
      </w:r>
    </w:p>
    <w:p>
      <w:pPr>
        <w:pStyle w:val="Heading2"/>
        <w:bidi/>
      </w:pPr>
      <w:r>
        <w:rPr>
          <w:rtl/>
          <w:rFonts w:cs="Noto Sans Hebrew"/>
          <w:szCs w:val="24"/>
        </w:rPr>
        <w:t>השערה 1</w:t>
      </w:r>
    </w:p>
    <w:p>
      <w:pPr>
        <w:pStyle w:val="Heading3"/>
        <w:bidi/>
      </w:pPr>
      <w:r>
        <w:rPr>
          <w:rtl/>
          <w:rFonts w:cs="Noto Sans Hebrew"/>
          <w:szCs w:val="24"/>
        </w:rPr>
        <w:t>מה נוסף בגרסה המלאה</w:t>
      </w:r>
    </w:p>
    <w:p>
      <w:pPr>
        <w:pStyle w:val="ListBullet"/>
        <w:bidi/>
      </w:pPr>
      <w:r>
        <w:rPr>
          <w:rtl/>
          <w:rFonts w:cs="Noto Sans Hebrew"/>
          <w:szCs w:val="24"/>
        </w:rPr>
        <w:t xml:space="preserve">רווח סמך לגודל האפקט: רווח הסמך מראה את טווח הערכים הסבירים לגודל האפקט באוכלוסייה. רווח צר מעיד על אומדן מדויק, ורווח רחב מעיד על אי-ודאות גדולה יותר. בדרך כלל מדווחים עליו יחד עם גודל האפקט, כשנדרש דיווח מלא לפי כללי </w:t>
      </w:r>
      <w:r>
        <w:rPr>
          <w:rFonts w:cs="Carlito"/>
          <w:sz w:val="24"/>
          <w:szCs w:val="24"/>
          <w:lang w:val="en-US"/>
        </w:rPr>
        <w:t>‎APA‎‏</w:t>
      </w:r>
      <w:r>
        <w:rPr>
          <w:rtl/>
          <w:rFonts w:cs="Noto Sans Hebrew"/>
          <w:szCs w:val="24"/>
        </w:rPr>
        <w:t>.</w:t>
      </w:r>
    </w:p>
    <w:p>
      <w:pPr>
        <w:bidi/>
      </w:pPr>
      <w:r>
        <w:rPr>
          <w:rtl/>
          <w:rFonts w:cs="Noto Sans Hebrew"/>
          <w:szCs w:val="24"/>
        </w:rPr>
        <w:t>מחליף בפרק הממצאים את הסעיף: השערה 1</w:t>
      </w:r>
    </w:p>
    <w:p>
      <w:pPr>
        <w:pStyle w:val="Heading3"/>
        <w:bidi/>
      </w:pPr>
      <w:r>
        <w:rPr>
          <w:rtl/>
          <w:rFonts w:cs="Noto Sans Hebrew"/>
          <w:szCs w:val="24"/>
        </w:rPr>
        <w:t>הגרסה המלאה, מוכנה להעתקה</w:t>
      </w:r>
    </w:p>
    <w:p>
      <w:pPr>
        <w:bidi/>
      </w:pPr>
      <w:r>
        <w:rPr>
          <w:rtl/>
          <w:rFonts w:cs="Noto Sans Hebrew"/>
          <w:szCs w:val="24"/>
        </w:rPr>
        <w:t>בוצע ניתוח קשר להערכת השערה זו.</w:t>
      </w:r>
    </w:p>
    <w:p>
      <w:pPr>
        <w:bidi/>
      </w:pPr>
      <w:r>
        <w:rPr>
          <w:rtl/>
          <w:rFonts w:cs="Noto Sans Hebrew"/>
          <w:szCs w:val="24"/>
        </w:rPr>
        <w:t>ממצאי המתאם תומכים בהשערה: נמצא קשר חיובי ומובהק בין מסוגלות אקדמית להתמדה בלמידה, כלומר ככל שהסטודנטים מדווחים על רמת מסוגלות אקדמית גבוהה יותר, כך הם נוטים לדווח גם על רמת התמדה בלמידה גבוהה יותר. יש לזכור כי מדובר בנתוני חתך המתבססים על דיווח עצמי בנקודת זמן אחת, ולכן אין בממצא זה כדי לבסס טענה סיבתית לפיה מסוגלות אקדמית גורמת להתמדה גבוהה יותר.</w:t>
      </w:r>
    </w:p>
    <w:p>
      <w:pPr>
        <w:bidi/>
      </w:pPr>
      <w:r>
        <w:rPr>
          <w:rFonts w:cs="Carlito"/>
          <w:i/>
          <w:sz w:val="24"/>
          <w:szCs w:val="24"/>
          <w:lang w:val="en-US"/>
          <w:iCs/>
        </w:rPr>
        <w:t>‎N</w:t>
      </w:r>
      <w:r>
        <w:rPr>
          <w:rFonts w:cs="Carlito"/>
          <w:sz w:val="24"/>
          <w:szCs w:val="24"/>
          <w:lang w:val="en-US"/>
        </w:rPr>
        <w:t xml:space="preserve"> = 180, </w:t>
      </w:r>
      <w:r>
        <w:rPr>
          <w:rFonts w:cs="Carlito"/>
          <w:i/>
          <w:sz w:val="24"/>
          <w:szCs w:val="24"/>
          <w:lang w:val="en-US"/>
          <w:iCs/>
        </w:rPr>
        <w:t>r</w:t>
      </w:r>
      <w:r>
        <w:rPr>
          <w:rFonts w:cs="Carlito"/>
          <w:sz w:val="24"/>
          <w:szCs w:val="24"/>
          <w:lang w:val="en-US"/>
        </w:rPr>
        <w:t xml:space="preserve">(178) = .43, </w:t>
      </w:r>
      <w:r>
        <w:rPr>
          <w:rFonts w:cs="Carlito"/>
          <w:i/>
          <w:sz w:val="24"/>
          <w:szCs w:val="24"/>
          <w:lang w:val="en-US"/>
          <w:iCs/>
        </w:rPr>
        <w:t>p</w:t>
      </w:r>
      <w:r>
        <w:rPr>
          <w:rFonts w:cs="Carlito"/>
          <w:sz w:val="24"/>
          <w:szCs w:val="24"/>
          <w:lang w:val="en-US"/>
        </w:rPr>
        <w:t xml:space="preserve"> &lt; .001, p_adj &lt; .001, 95% CI [.31, .55]‎‏</w:t>
      </w:r>
      <w:r>
        <w:rPr>
          <w:rtl/>
          <w:rFonts w:cs="Noto Sans Hebrew"/>
          <w:szCs w:val="24"/>
        </w:rPr>
        <w:t xml:space="preserve"> (אפקט בינוני)</w:t>
      </w:r>
    </w:p>
    <w:p>
      <w:pPr>
        <w:bidi/>
      </w:pPr>
      <w:r>
        <w:rPr>
          <w:rtl/>
          <w:rFonts w:cs="Noto Sans Hebrew"/>
          <w:szCs w:val="24"/>
        </w:rPr>
        <w:t>התוצאה היתה: אוששה.</w:t>
      </w:r>
    </w:p>
    <w:p>
      <w:pPr>
        <w:pStyle w:val="Heading3"/>
        <w:bidi/>
      </w:pPr>
      <w:r>
        <w:rPr>
          <w:rtl/>
          <w:rFonts w:cs="Noto Sans Hebrew"/>
          <w:szCs w:val="24"/>
        </w:rPr>
        <w:t>הגרסה החד-זנבית</w:t>
      </w:r>
    </w:p>
    <w:p>
      <w:pPr>
        <w:bidi/>
      </w:pPr>
      <w:r>
        <w:rPr>
          <w:rtl/>
          <w:rFonts w:cs="Noto Sans Hebrew"/>
          <w:szCs w:val="24"/>
        </w:rPr>
        <w:t xml:space="preserve">בדיקה דו-זנבית בודקת אם יש השפעה בכיוון כלשהו; בדיקה חד-זנבית בודקת רק את הכיוון שנקבע מראש. סטטיסטי המבחן זהה בשתיהן, ורק ערך </w:t>
      </w:r>
      <w:r>
        <w:rPr>
          <w:rFonts w:cs="Carlito"/>
          <w:i/>
          <w:sz w:val="24"/>
          <w:szCs w:val="24"/>
          <w:lang w:val="en-US"/>
          <w:iCs/>
        </w:rPr>
        <w:t>‎p‎‏</w:t>
      </w:r>
      <w:r>
        <w:rPr>
          <w:rtl/>
          <w:rFonts w:cs="Noto Sans Hebrew"/>
          <w:szCs w:val="24"/>
        </w:rPr>
        <w:t xml:space="preserve"> שונה. כשההשפעה היא בכיוון שנקבע, ערך </w:t>
      </w:r>
      <w:r>
        <w:rPr>
          <w:rFonts w:cs="Carlito"/>
          <w:i/>
          <w:sz w:val="24"/>
          <w:szCs w:val="24"/>
          <w:lang w:val="en-US"/>
          <w:iCs/>
        </w:rPr>
        <w:t>‎p‎‏</w:t>
      </w:r>
      <w:r>
        <w:rPr>
          <w:rtl/>
          <w:rFonts w:cs="Noto Sans Hebrew"/>
          <w:szCs w:val="24"/>
        </w:rPr>
        <w:t xml:space="preserve"> החד-זנבי הוא מחצית מהדו-זנבי. פרק הממצאים מציג את הגרסה הדו-זנבית, זו שתוכנית הניתוח קבעה להשערה הזו לפני שבוצע מבחן כלשהו.</w:t>
      </w:r>
    </w:p>
    <w:p>
      <w:pPr>
        <w:bidi/>
      </w:pPr>
      <w:r>
        <w:rPr>
          <w:rtl/>
          <w:rFonts w:cs="Noto Sans Hebrew"/>
          <w:szCs w:val="24"/>
        </w:rPr>
        <w:t>ההשערה הזו לא קבעה כיוון מראש, ולכן הגרסה החד-זנבית שלהלן היא בכיוון שנצפה. בדיקה חד-זנבית מתאימה רק כשהכיוון נקבע לפני שהנתונים נבדקו; כדאי לבדוק זאת עם המנחה לפני שמשתמשים בה.</w:t>
      </w:r>
    </w:p>
    <w:p>
      <w:pPr>
        <w:bidi/>
      </w:pPr>
      <w:r>
        <w:rPr>
          <w:rtl/>
          <w:rFonts w:cs="Noto Sans Hebrew"/>
          <w:szCs w:val="24"/>
        </w:rPr>
        <w:t xml:space="preserve">בפרק (בדיקה דו-זנבית): </w:t>
      </w:r>
      <w:r>
        <w:rPr>
          <w:rFonts w:cs="Carlito"/>
          <w:i/>
          <w:sz w:val="24"/>
          <w:szCs w:val="24"/>
          <w:lang w:val="en-US"/>
          <w:iCs/>
        </w:rPr>
        <w:t>‎r</w:t>
      </w:r>
      <w:r>
        <w:rPr>
          <w:rFonts w:cs="Carlito"/>
          <w:sz w:val="24"/>
          <w:szCs w:val="24"/>
          <w:lang w:val="en-US"/>
        </w:rPr>
        <w:t xml:space="preserve">(178) = .43, </w:t>
      </w:r>
      <w:r>
        <w:rPr>
          <w:rFonts w:cs="Carlito"/>
          <w:i/>
          <w:sz w:val="24"/>
          <w:szCs w:val="24"/>
          <w:lang w:val="en-US"/>
          <w:iCs/>
        </w:rPr>
        <w:t>p</w:t>
      </w:r>
      <w:r>
        <w:rPr>
          <w:rFonts w:cs="Carlito"/>
          <w:sz w:val="24"/>
          <w:szCs w:val="24"/>
          <w:lang w:val="en-US"/>
        </w:rPr>
        <w:t xml:space="preserve"> &lt; .001‎‏</w:t>
      </w:r>
      <w:r>
        <w:rPr>
          <w:rtl/>
          <w:rFonts w:cs="Noto Sans Hebrew"/>
          <w:szCs w:val="24"/>
        </w:rPr>
        <w:t>.</w:t>
      </w:r>
    </w:p>
    <w:p>
      <w:pPr>
        <w:pStyle w:val="Heading4"/>
        <w:bidi/>
      </w:pPr>
      <w:r>
        <w:rPr>
          <w:rtl/>
          <w:rFonts w:cs="Noto Sans Hebrew"/>
          <w:szCs w:val="24"/>
        </w:rPr>
        <w:t>הגרסה הזו, מוכנה להעתקה</w:t>
      </w:r>
    </w:p>
    <w:p>
      <w:pPr>
        <w:bidi/>
      </w:pPr>
      <w:r>
        <w:rPr>
          <w:rtl/>
          <w:rFonts w:cs="Noto Sans Hebrew"/>
          <w:szCs w:val="24"/>
        </w:rPr>
        <w:t xml:space="preserve">בבדיקה חד-זנבית (מתאם פירסון) נמצאה תוצאה מובהקת סטטיסטית, </w:t>
      </w:r>
      <w:r>
        <w:rPr>
          <w:rFonts w:cs="Carlito"/>
          <w:i/>
          <w:sz w:val="24"/>
          <w:szCs w:val="24"/>
          <w:lang w:val="en-US"/>
          <w:iCs/>
        </w:rPr>
        <w:t>‎r</w:t>
      </w:r>
      <w:r>
        <w:rPr>
          <w:rFonts w:cs="Carlito"/>
          <w:sz w:val="24"/>
          <w:szCs w:val="24"/>
          <w:lang w:val="en-US"/>
        </w:rPr>
        <w:t xml:space="preserve">(178) = .43, </w:t>
      </w:r>
      <w:r>
        <w:rPr>
          <w:rFonts w:cs="Carlito"/>
          <w:i/>
          <w:sz w:val="24"/>
          <w:szCs w:val="24"/>
          <w:lang w:val="en-US"/>
          <w:iCs/>
        </w:rPr>
        <w:t>p</w:t>
      </w:r>
      <w:r>
        <w:rPr>
          <w:rFonts w:cs="Carlito"/>
          <w:sz w:val="24"/>
          <w:szCs w:val="24"/>
          <w:lang w:val="en-US"/>
        </w:rPr>
        <w:t xml:space="preserve"> &lt; .001‎‏</w:t>
      </w:r>
      <w:r>
        <w:rPr>
          <w:rtl/>
          <w:rFonts w:cs="Noto Sans Hebrew"/>
          <w:szCs w:val="24"/>
        </w:rPr>
        <w:t>.</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lang w:val="en-US" w:eastAsia="en-US" w:bidi="he-IL"/>
      <w:rFonts w:ascii="Carlito" w:hAnsi="Carlito" w:eastAsia="Carlito" w:cs="Noto Sans Hebrew"/>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pPr>
    <w:rPr>
      <w:rFonts w:ascii="Carlito" w:hAnsi="Carlito" w:eastAsia="Carlito" w:cs="Noto Sans Hebrew"/>
      <w:b/>
      <w:bCs/>
      <w:color w:val="171717" w:themeShade="BF"/>
      <w:sz w:val="28"/>
      <w:szCs w:val="28"/>
      <w:lang w:val="en-US" w:eastAsia="en-US" w:bidi="he-IL"/>
    </w:rPr>
  </w:style>
  <w:style w:type="paragraph" w:styleId="Heading2">
    <w:name w:val="heading 2"/>
    <w:basedOn w:val="Normal"/>
    <w:next w:val="Normal"/>
    <w:link w:val="Heading2Char"/>
    <w:uiPriority w:val="9"/>
    <w:unhideWhenUsed/>
    <w:qFormat/>
    <w:rsid w:val="00FC693F"/>
    <w:pPr>
      <w:keepNext/>
      <w:keepLines/>
      <w:spacing w:before="200" w:after="0"/>
      <w:outlineLvl w:val="1"/>
      <w:bidi/>
    </w:pPr>
    <w:rPr>
      <w:rFonts w:ascii="Carlito" w:hAnsi="Carlito" w:eastAsia="Carlito" w:cs="Noto Sans Hebrew"/>
      <w:b/>
      <w:bCs/>
      <w:color w:val="171717"/>
      <w:sz w:val="26"/>
      <w:szCs w:val="26"/>
      <w:lang w:val="en-US" w:eastAsia="en-US" w:bidi="he-IL"/>
    </w:rPr>
  </w:style>
  <w:style w:type="paragraph" w:styleId="Heading3">
    <w:name w:val="heading 3"/>
    <w:basedOn w:val="Normal"/>
    <w:next w:val="Normal"/>
    <w:link w:val="Heading3Char"/>
    <w:uiPriority w:val="9"/>
    <w:unhideWhenUsed/>
    <w:qFormat/>
    <w:rsid w:val="00FC693F"/>
    <w:pPr>
      <w:keepNext/>
      <w:keepLines/>
      <w:spacing w:before="200" w:after="0"/>
      <w:outlineLvl w:val="2"/>
      <w:bidi/>
    </w:pPr>
    <w:rPr>
      <w:rFonts w:ascii="Carlito" w:hAnsi="Carlito" w:eastAsia="Carlito" w:cs="Noto Sans Hebrew"/>
      <w:b/>
      <w:bCs/>
      <w:color w:val="171717"/>
      <w:lang w:val="en-US" w:eastAsia="en-US"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bidi/>
    </w:pPr>
    <w:rPr>
      <w:rFonts w:ascii="Carlito" w:hAnsi="Carlito" w:eastAsia="Carlito" w:cs="Noto Sans Hebrew"/>
      <w:b/>
      <w:bCs/>
      <w:i/>
      <w:iCs/>
      <w:color w:val="171717"/>
      <w:lang w:val="en-US" w:eastAsia="en-US" w:bidi="he-IL"/>
    </w:rPr>
  </w:style>
  <w:style w:type="paragraph" w:styleId="Heading5">
    <w:name w:val="heading 5"/>
    <w:basedOn w:val="Normal"/>
    <w:next w:val="Normal"/>
    <w:link w:val="Heading5Char"/>
    <w:uiPriority w:val="9"/>
    <w:semiHidden/>
    <w:unhideWhenUsed/>
    <w:qFormat/>
    <w:rsid w:val="00FC693F"/>
    <w:pPr>
      <w:keepNext/>
      <w:keepLines/>
      <w:spacing w:before="200" w:after="0"/>
      <w:outlineLvl w:val="4"/>
      <w:bidi/>
    </w:pPr>
    <w:rPr>
      <w:rFonts w:ascii="Carlito" w:hAnsi="Carlito" w:eastAsia="Carlito" w:cs="Noto Sans Hebrew"/>
      <w:color w:val="171717" w:themeShade="7F"/>
      <w:lang w:val="en-US" w:eastAsia="en-US" w:bidi="he-IL"/>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bidi/>
    </w:pPr>
    <w:rPr>
      <w:rFonts w:ascii="Carlito" w:hAnsi="Carlito" w:eastAsia="Carlito" w:cs="Noto Sans Hebrew"/>
      <w:color w:val="171717" w:themeShade="BF"/>
      <w:spacing w:val="5"/>
      <w:kern w:val="28"/>
      <w:sz w:val="52"/>
      <w:szCs w:val="52"/>
      <w:lang w:val="en-US" w:eastAsia="en-US" w:bidi="he-I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bidi/>
    </w:pPr>
    <w:rPr>
      <w:lang w:val="en-US" w:eastAsia="en-US" w:bidi="he-IL"/>
      <w:rFonts w:ascii="Carlito" w:hAnsi="Carlito" w:eastAsia="Carlito" w:cs="Noto Sans Hebrew"/>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bidi/>
    </w:pPr>
    <w:rPr>
      <w:lang w:val="en-US" w:eastAsia="en-US" w:bidi="he-IL"/>
      <w:rFonts w:ascii="Carlito" w:hAnsi="Carlito" w:eastAsia="Carlito" w:cs="Noto Sans Hebrew"/>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bidi/>
    </w:pPr>
    <w:rPr>
      <w:i/>
      <w:iCs/>
      <w:color w:val="000000" w:themeColor="text1"/>
      <w:lang w:val="en-US" w:eastAsia="en-US" w:bidi="he-IL"/>
      <w:rFonts w:ascii="Carlito" w:hAnsi="Carlito" w:eastAsia="Carlito" w:cs="Noto Sans Hebrew"/>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